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Pr="00407A9D" w:rsidRDefault="006816EC">
            <w:pPr>
              <w:jc w:val="both"/>
              <w:rPr>
                <w:rFonts w:ascii="Arial (W1)" w:hAnsi="Arial (W1)"/>
                <w:b/>
                <w:bCs/>
                <w:sz w:val="26"/>
                <w:szCs w:val="26"/>
              </w:rPr>
            </w:pPr>
            <w:r w:rsidRPr="00407A9D">
              <w:rPr>
                <w:rFonts w:hint="cs"/>
                <w:b/>
                <w:bCs/>
                <w:sz w:val="26"/>
                <w:szCs w:val="26"/>
                <w:rtl/>
              </w:rPr>
              <w:t xml:space="preserve">בפני </w:t>
            </w:r>
          </w:p>
        </w:tc>
        <w:tc>
          <w:tcPr>
            <w:tcW w:w="8077" w:type="dxa"/>
            <w:gridSpan w:val="2"/>
            <w:hideMark/>
          </w:tcPr>
          <w:p w:rsidR="006816EC" w:rsidRPr="00407A9D" w:rsidRDefault="00B32C61" w:rsidP="006816EC">
            <w:pPr>
              <w:rPr>
                <w:rFonts w:ascii="Arial" w:hAnsi="Arial"/>
                <w:b/>
                <w:bCs/>
                <w:sz w:val="26"/>
                <w:szCs w:val="26"/>
                <w:rtl/>
              </w:rPr>
            </w:pPr>
            <w:r w:rsidRPr="00407A9D">
              <w:rPr>
                <w:rFonts w:ascii="Arial" w:hAnsi="Arial" w:hint="cs"/>
                <w:b/>
                <w:bCs/>
                <w:sz w:val="26"/>
                <w:szCs w:val="26"/>
                <w:rtl/>
              </w:rPr>
              <w:t>כבוד</w:t>
            </w:r>
            <w:r w:rsidR="006816EC" w:rsidRPr="00407A9D">
              <w:rPr>
                <w:rFonts w:ascii="Arial" w:hAnsi="Arial" w:hint="cs"/>
                <w:b/>
                <w:bCs/>
                <w:sz w:val="26"/>
                <w:szCs w:val="26"/>
                <w:rtl/>
              </w:rPr>
              <w:t xml:space="preserve"> ה</w:t>
            </w:r>
            <w:sdt>
              <w:sdtPr>
                <w:rPr>
                  <w:sz w:val="26"/>
                  <w:szCs w:val="26"/>
                  <w:rtl/>
                </w:rPr>
                <w:alias w:val="1574"/>
                <w:tag w:val="1574"/>
                <w:id w:val="-868990752"/>
                <w:text w:multiLine="1"/>
              </w:sdtPr>
              <w:sdtEndPr/>
              <w:sdtContent>
                <w:r w:rsidRPr="00407A9D">
                  <w:rPr>
                    <w:rFonts w:ascii="Arial" w:hAnsi="Arial"/>
                    <w:b/>
                    <w:bCs/>
                    <w:sz w:val="26"/>
                    <w:szCs w:val="26"/>
                    <w:rtl/>
                  </w:rPr>
                  <w:t>שופטת</w:t>
                </w:r>
              </w:sdtContent>
            </w:sdt>
            <w:r w:rsidR="006816EC" w:rsidRPr="00407A9D">
              <w:rPr>
                <w:rFonts w:ascii="Arial" w:hAnsi="Arial" w:hint="cs"/>
                <w:b/>
                <w:bCs/>
                <w:sz w:val="26"/>
                <w:szCs w:val="26"/>
                <w:rtl/>
              </w:rPr>
              <w:t xml:space="preserve">  </w:t>
            </w:r>
            <w:sdt>
              <w:sdtPr>
                <w:rPr>
                  <w:sz w:val="26"/>
                  <w:szCs w:val="26"/>
                  <w:rtl/>
                </w:rPr>
                <w:alias w:val="1573"/>
                <w:tag w:val="1573"/>
                <w:id w:val="407734867"/>
                <w:text w:multiLine="1"/>
              </w:sdtPr>
              <w:sdtEndPr/>
              <w:sdtContent>
                <w:r w:rsidRPr="00407A9D">
                  <w:rPr>
                    <w:rFonts w:ascii="Arial" w:hAnsi="Arial"/>
                    <w:b/>
                    <w:bCs/>
                    <w:sz w:val="26"/>
                    <w:szCs w:val="26"/>
                    <w:rtl/>
                  </w:rPr>
                  <w:t>מיכל סער</w:t>
                </w:r>
              </w:sdtContent>
            </w:sdt>
          </w:p>
          <w:p w:rsidR="006816EC" w:rsidRPr="00407A9D" w:rsidRDefault="006816EC" w:rsidP="006816EC">
            <w:pPr>
              <w:rPr>
                <w:sz w:val="26"/>
                <w:szCs w:val="26"/>
              </w:rPr>
            </w:pP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BE60BD" w:rsidRDefault="00407A9D">
            <w:pPr>
              <w:rPr>
                <w:rFonts w:ascii="Arial (W1)" w:hAnsi="Arial (W1)"/>
                <w:b/>
                <w:bCs/>
                <w:noProof w:val="0"/>
                <w:sz w:val="28"/>
                <w:szCs w:val="28"/>
              </w:rPr>
            </w:pPr>
            <w:r w:rsidRPr="00407A9D">
              <w:rPr>
                <w:rFonts w:hint="cs"/>
                <w:b/>
                <w:bCs/>
                <w:noProof w:val="0"/>
                <w:sz w:val="26"/>
                <w:szCs w:val="26"/>
                <w:rtl/>
              </w:rPr>
              <w:t>תובעת</w:t>
            </w:r>
          </w:p>
        </w:tc>
        <w:tc>
          <w:tcPr>
            <w:tcW w:w="5571" w:type="dxa"/>
          </w:tcPr>
          <w:p w:rsidR="006816EC" w:rsidRDefault="006816EC">
            <w:pPr>
              <w:rPr>
                <w:rFonts w:ascii="Arial (W1)" w:hAnsi="Arial (W1)"/>
                <w:b/>
                <w:bCs/>
                <w:noProof w:val="0"/>
                <w:sz w:val="28"/>
                <w:szCs w:val="28"/>
                <w:rtl/>
              </w:rPr>
            </w:pPr>
          </w:p>
          <w:p w:rsidR="006816EC" w:rsidRDefault="001B614C">
            <w:pPr>
              <w:rPr>
                <w:rFonts w:ascii="Arial (W1)" w:hAnsi="Arial (W1)"/>
                <w:b/>
                <w:bCs/>
                <w:noProof w:val="0"/>
                <w:sz w:val="28"/>
                <w:szCs w:val="28"/>
              </w:rPr>
            </w:pPr>
            <w:r>
              <w:rPr>
                <w:rFonts w:hint="cs"/>
                <w:b/>
                <w:bCs/>
                <w:noProof w:val="0"/>
                <w:sz w:val="26"/>
                <w:szCs w:val="26"/>
                <w:rtl/>
              </w:rPr>
              <w:t>פלונית</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407A9D">
            <w:pPr>
              <w:rPr>
                <w:rFonts w:ascii="Arial (W1)" w:hAnsi="Arial (W1)"/>
                <w:b/>
                <w:bCs/>
                <w:noProof w:val="0"/>
                <w:sz w:val="28"/>
                <w:szCs w:val="28"/>
              </w:rPr>
            </w:pPr>
            <w:r w:rsidRPr="00407A9D">
              <w:rPr>
                <w:rFonts w:hint="cs"/>
                <w:b/>
                <w:bCs/>
                <w:noProof w:val="0"/>
                <w:sz w:val="26"/>
                <w:szCs w:val="26"/>
                <w:rtl/>
              </w:rPr>
              <w:t>נתבע</w:t>
            </w:r>
          </w:p>
        </w:tc>
        <w:tc>
          <w:tcPr>
            <w:tcW w:w="5571" w:type="dxa"/>
          </w:tcPr>
          <w:p w:rsidR="006816EC" w:rsidRDefault="001B614C">
            <w:pPr>
              <w:rPr>
                <w:rFonts w:ascii="Arial (W1)" w:hAnsi="Arial (W1)"/>
                <w:b/>
                <w:bCs/>
                <w:noProof w:val="0"/>
                <w:sz w:val="28"/>
                <w:szCs w:val="28"/>
              </w:rPr>
            </w:pPr>
            <w:r>
              <w:rPr>
                <w:rFonts w:hint="cs"/>
                <w:b/>
                <w:bCs/>
                <w:noProof w:val="0"/>
                <w:sz w:val="26"/>
                <w:szCs w:val="26"/>
                <w:rtl/>
              </w:rPr>
              <w:t>פלוני</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BE60BD" w:rsidRDefault="00BE60BD">
            <w:pPr>
              <w:rPr>
                <w:rFonts w:ascii="David" w:eastAsia="David" w:hAnsi="David"/>
                <w:noProof w:val="0"/>
              </w:rPr>
            </w:pPr>
          </w:p>
        </w:tc>
        <w:tc>
          <w:tcPr>
            <w:tcW w:w="5571" w:type="dxa"/>
          </w:tcPr>
          <w:p w:rsidR="00BE60BD" w:rsidRDefault="00BE60BD">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p w:rsidR="00014375" w:rsidRDefault="00014375" w:rsidP="00014375">
            <w:pPr>
              <w:bidi w:val="0"/>
              <w:jc w:val="center"/>
              <w:rPr>
                <w:rFonts w:ascii="Arial" w:hAnsi="Arial"/>
                <w:b/>
                <w:bCs/>
                <w:noProof w:val="0"/>
                <w:sz w:val="28"/>
                <w:szCs w:val="28"/>
                <w:u w:val="single"/>
              </w:rPr>
            </w:pPr>
            <w:bookmarkStart w:id="0" w:name="_GoBack"/>
            <w:bookmarkEnd w:id="0"/>
          </w:p>
        </w:tc>
      </w:tr>
    </w:tbl>
    <w:p w:rsidR="00014375" w:rsidRDefault="00014375" w:rsidP="00014375">
      <w:pPr>
        <w:rPr>
          <w:rFonts w:ascii="David" w:hAnsi="David"/>
          <w:u w:val="single"/>
          <w:rtl/>
        </w:rPr>
      </w:pPr>
    </w:p>
    <w:p w:rsidR="00014375" w:rsidRDefault="00014375" w:rsidP="00014375">
      <w:pPr>
        <w:rPr>
          <w:rFonts w:ascii="David" w:hAnsi="David"/>
          <w:u w:val="single"/>
          <w:rtl/>
        </w:rPr>
      </w:pPr>
    </w:p>
    <w:p w:rsidR="00014375" w:rsidRDefault="00014375" w:rsidP="008C7AFA">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לפניי תביעות הדדיות שהגישו הצדדים אגב פרידתם. הצדדים נישאו בשנת 1997 ומנישואין אלו נולדו להם שישה ילדים: </w:t>
      </w:r>
      <w:r w:rsidR="001B614C">
        <w:rPr>
          <w:rFonts w:ascii="David" w:hAnsi="David" w:cs="David" w:hint="cs"/>
          <w:b/>
          <w:bCs/>
          <w:sz w:val="24"/>
          <w:szCs w:val="24"/>
          <w:rtl/>
        </w:rPr>
        <w:t>נ'</w:t>
      </w:r>
      <w:r>
        <w:rPr>
          <w:rFonts w:ascii="David" w:hAnsi="David" w:cs="David"/>
          <w:sz w:val="24"/>
          <w:szCs w:val="24"/>
          <w:rtl/>
        </w:rPr>
        <w:t xml:space="preserve"> ילידת 1998, </w:t>
      </w:r>
      <w:r w:rsidR="001B614C">
        <w:rPr>
          <w:rFonts w:ascii="David" w:hAnsi="David" w:cs="David"/>
          <w:b/>
          <w:bCs/>
          <w:sz w:val="24"/>
          <w:szCs w:val="24"/>
          <w:rtl/>
        </w:rPr>
        <w:t>ק</w:t>
      </w:r>
      <w:r w:rsidR="001B614C">
        <w:rPr>
          <w:rFonts w:ascii="David" w:hAnsi="David" w:cs="David" w:hint="cs"/>
          <w:b/>
          <w:bCs/>
          <w:sz w:val="24"/>
          <w:szCs w:val="24"/>
          <w:rtl/>
        </w:rPr>
        <w:t>'</w:t>
      </w:r>
      <w:r>
        <w:rPr>
          <w:rFonts w:ascii="David" w:hAnsi="David" w:cs="David"/>
          <w:b/>
          <w:bCs/>
          <w:sz w:val="24"/>
          <w:szCs w:val="24"/>
          <w:rtl/>
        </w:rPr>
        <w:t xml:space="preserve"> </w:t>
      </w:r>
      <w:r w:rsidR="008C7AFA">
        <w:rPr>
          <w:rFonts w:ascii="David" w:hAnsi="David" w:cs="David"/>
          <w:sz w:val="24"/>
          <w:szCs w:val="24"/>
          <w:rtl/>
        </w:rPr>
        <w:t xml:space="preserve">ילידת 1999, </w:t>
      </w:r>
      <w:r w:rsidR="001B614C">
        <w:rPr>
          <w:rFonts w:ascii="David" w:hAnsi="David" w:cs="David"/>
          <w:b/>
          <w:bCs/>
          <w:sz w:val="24"/>
          <w:szCs w:val="24"/>
          <w:rtl/>
        </w:rPr>
        <w:t>ק</w:t>
      </w:r>
      <w:r w:rsidR="001B614C">
        <w:rPr>
          <w:rFonts w:ascii="David" w:hAnsi="David" w:cs="David" w:hint="cs"/>
          <w:b/>
          <w:bCs/>
          <w:sz w:val="24"/>
          <w:szCs w:val="24"/>
          <w:rtl/>
        </w:rPr>
        <w:t>'</w:t>
      </w:r>
      <w:r>
        <w:rPr>
          <w:rFonts w:ascii="David" w:hAnsi="David" w:cs="David"/>
          <w:b/>
          <w:bCs/>
          <w:sz w:val="24"/>
          <w:szCs w:val="24"/>
          <w:rtl/>
        </w:rPr>
        <w:t xml:space="preserve"> </w:t>
      </w:r>
      <w:r w:rsidR="008C7AFA">
        <w:rPr>
          <w:rFonts w:ascii="David" w:hAnsi="David" w:cs="David"/>
          <w:sz w:val="24"/>
          <w:szCs w:val="24"/>
          <w:rtl/>
        </w:rPr>
        <w:t>ילידת</w:t>
      </w:r>
      <w:r w:rsidR="008C7AFA">
        <w:rPr>
          <w:rFonts w:ascii="David" w:hAnsi="David" w:cs="David" w:hint="cs"/>
          <w:sz w:val="24"/>
          <w:szCs w:val="24"/>
          <w:rtl/>
        </w:rPr>
        <w:t xml:space="preserve"> </w:t>
      </w:r>
      <w:r>
        <w:rPr>
          <w:rFonts w:ascii="David" w:hAnsi="David" w:cs="David"/>
          <w:sz w:val="24"/>
          <w:szCs w:val="24"/>
          <w:rtl/>
        </w:rPr>
        <w:t xml:space="preserve">2003, </w:t>
      </w:r>
      <w:r w:rsidR="001B614C">
        <w:rPr>
          <w:rFonts w:ascii="David" w:hAnsi="David" w:cs="David"/>
          <w:b/>
          <w:bCs/>
          <w:sz w:val="24"/>
          <w:szCs w:val="24"/>
          <w:rtl/>
        </w:rPr>
        <w:t>מ</w:t>
      </w:r>
      <w:r w:rsidR="001B614C">
        <w:rPr>
          <w:rFonts w:ascii="David" w:hAnsi="David" w:cs="David" w:hint="cs"/>
          <w:b/>
          <w:bCs/>
          <w:sz w:val="24"/>
          <w:szCs w:val="24"/>
          <w:rtl/>
        </w:rPr>
        <w:t>'</w:t>
      </w:r>
      <w:r>
        <w:rPr>
          <w:rFonts w:ascii="David" w:hAnsi="David" w:cs="David"/>
          <w:b/>
          <w:bCs/>
          <w:sz w:val="24"/>
          <w:szCs w:val="24"/>
          <w:rtl/>
        </w:rPr>
        <w:t xml:space="preserve"> </w:t>
      </w:r>
      <w:r>
        <w:rPr>
          <w:rFonts w:ascii="David" w:hAnsi="David" w:cs="David"/>
          <w:sz w:val="24"/>
          <w:szCs w:val="24"/>
          <w:rtl/>
        </w:rPr>
        <w:t xml:space="preserve">ילידת 2007, </w:t>
      </w:r>
      <w:r w:rsidR="001B614C">
        <w:rPr>
          <w:rFonts w:ascii="David" w:hAnsi="David" w:cs="David"/>
          <w:b/>
          <w:bCs/>
          <w:sz w:val="24"/>
          <w:szCs w:val="24"/>
          <w:rtl/>
        </w:rPr>
        <w:t>ש</w:t>
      </w:r>
      <w:r w:rsidR="001B614C">
        <w:rPr>
          <w:rFonts w:ascii="David" w:hAnsi="David" w:cs="David" w:hint="cs"/>
          <w:b/>
          <w:bCs/>
          <w:sz w:val="24"/>
          <w:szCs w:val="24"/>
          <w:rtl/>
        </w:rPr>
        <w:t>'</w:t>
      </w:r>
      <w:r>
        <w:rPr>
          <w:rFonts w:ascii="David" w:hAnsi="David" w:cs="David"/>
          <w:sz w:val="24"/>
          <w:szCs w:val="24"/>
          <w:rtl/>
        </w:rPr>
        <w:t xml:space="preserve"> יליד 2012, ו</w:t>
      </w:r>
      <w:r w:rsidR="001B614C">
        <w:rPr>
          <w:rFonts w:ascii="David" w:hAnsi="David" w:cs="David"/>
          <w:b/>
          <w:bCs/>
          <w:sz w:val="24"/>
          <w:szCs w:val="24"/>
          <w:rtl/>
        </w:rPr>
        <w:t>ק</w:t>
      </w:r>
      <w:r w:rsidR="001B614C">
        <w:rPr>
          <w:rFonts w:ascii="David" w:hAnsi="David" w:cs="David" w:hint="cs"/>
          <w:b/>
          <w:bCs/>
          <w:sz w:val="24"/>
          <w:szCs w:val="24"/>
          <w:rtl/>
        </w:rPr>
        <w:t>'</w:t>
      </w:r>
      <w:r>
        <w:rPr>
          <w:rFonts w:ascii="David" w:hAnsi="David" w:cs="David"/>
          <w:sz w:val="24"/>
          <w:szCs w:val="24"/>
          <w:rtl/>
        </w:rPr>
        <w:t xml:space="preserve"> ילידת 2017. נכון למועד זה, הצדדים טרם התגרשו. </w:t>
      </w:r>
    </w:p>
    <w:p w:rsidR="00014375" w:rsidRDefault="00014375" w:rsidP="00014375">
      <w:pPr>
        <w:pStyle w:val="ad"/>
        <w:spacing w:line="360" w:lineRule="auto"/>
        <w:ind w:left="368"/>
        <w:jc w:val="both"/>
        <w:rPr>
          <w:rFonts w:ascii="David" w:hAnsi="David" w:cs="David"/>
          <w:sz w:val="24"/>
          <w:szCs w:val="24"/>
        </w:rPr>
      </w:pPr>
    </w:p>
    <w:p w:rsidR="00014375" w:rsidRDefault="00014375" w:rsidP="00014375">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התביעות המונחות לפניי והדורשות הכרעה הינן, כדלקמן:</w:t>
      </w:r>
    </w:p>
    <w:p w:rsidR="00014375" w:rsidRDefault="00014375" w:rsidP="00014375">
      <w:pPr>
        <w:pStyle w:val="ad"/>
        <w:rPr>
          <w:rFonts w:ascii="David" w:hAnsi="David" w:cs="David"/>
          <w:sz w:val="24"/>
          <w:szCs w:val="24"/>
        </w:rPr>
      </w:pPr>
    </w:p>
    <w:p w:rsidR="00014375" w:rsidRDefault="00014375" w:rsidP="00014375">
      <w:pPr>
        <w:pStyle w:val="ad"/>
        <w:spacing w:line="360" w:lineRule="auto"/>
        <w:ind w:left="368"/>
        <w:jc w:val="both"/>
        <w:rPr>
          <w:rFonts w:ascii="David" w:hAnsi="David" w:cs="David"/>
          <w:sz w:val="24"/>
          <w:szCs w:val="24"/>
          <w:rtl/>
        </w:rPr>
      </w:pPr>
      <w:r>
        <w:rPr>
          <w:rFonts w:ascii="David" w:hAnsi="David" w:cs="David"/>
          <w:sz w:val="24"/>
          <w:szCs w:val="24"/>
          <w:rtl/>
        </w:rPr>
        <w:t xml:space="preserve">תביעות האישה לפסיקת מזונות קטינים ומזונות אישה (תלה"מ 22152-02-18), וכן תביעה רכושית (תלה"מ 22247-02-18). מנגד, תביעת האיש לקבלת דמי שימוש בגין שימוש האישה בבית הצדדים (5035-06-19). </w:t>
      </w:r>
    </w:p>
    <w:p w:rsidR="00014375" w:rsidRDefault="00014375" w:rsidP="00014375">
      <w:pPr>
        <w:pStyle w:val="ad"/>
        <w:spacing w:line="360" w:lineRule="auto"/>
        <w:ind w:left="368"/>
        <w:jc w:val="both"/>
        <w:rPr>
          <w:rFonts w:ascii="David" w:hAnsi="David" w:cs="David"/>
          <w:sz w:val="24"/>
          <w:szCs w:val="24"/>
          <w:rtl/>
        </w:rPr>
      </w:pPr>
    </w:p>
    <w:p w:rsidR="00014375" w:rsidRDefault="00014375" w:rsidP="00014375">
      <w:pPr>
        <w:spacing w:line="360" w:lineRule="auto"/>
        <w:jc w:val="both"/>
        <w:rPr>
          <w:rFonts w:ascii="David" w:hAnsi="David"/>
          <w:b/>
          <w:bCs/>
          <w:u w:val="single"/>
        </w:rPr>
      </w:pPr>
      <w:r>
        <w:rPr>
          <w:rFonts w:ascii="David" w:hAnsi="David"/>
          <w:b/>
          <w:bCs/>
          <w:u w:val="single"/>
          <w:rtl/>
        </w:rPr>
        <w:t>התביעה הרכושית</w:t>
      </w:r>
    </w:p>
    <w:p w:rsidR="00014375" w:rsidRDefault="00014375" w:rsidP="00014375">
      <w:pPr>
        <w:pStyle w:val="ad"/>
        <w:spacing w:line="360" w:lineRule="auto"/>
        <w:ind w:left="368"/>
        <w:jc w:val="both"/>
        <w:rPr>
          <w:rFonts w:ascii="David" w:hAnsi="David" w:cs="David"/>
          <w:sz w:val="24"/>
          <w:szCs w:val="24"/>
        </w:rPr>
      </w:pPr>
    </w:p>
    <w:p w:rsidR="00014375" w:rsidRDefault="001B614C" w:rsidP="001B614C">
      <w:pPr>
        <w:pStyle w:val="ad"/>
        <w:numPr>
          <w:ilvl w:val="0"/>
          <w:numId w:val="1"/>
        </w:numPr>
        <w:spacing w:line="360" w:lineRule="auto"/>
        <w:ind w:left="368" w:hanging="560"/>
        <w:jc w:val="both"/>
        <w:rPr>
          <w:rFonts w:ascii="David" w:hAnsi="David" w:cs="David"/>
          <w:b/>
          <w:bCs/>
          <w:sz w:val="24"/>
          <w:szCs w:val="24"/>
          <w:u w:val="single"/>
        </w:rPr>
      </w:pPr>
      <w:r>
        <w:rPr>
          <w:rFonts w:ascii="David" w:hAnsi="David" w:cs="David"/>
          <w:sz w:val="24"/>
          <w:szCs w:val="24"/>
          <w:rtl/>
        </w:rPr>
        <w:t>הצדדים נישאו ב</w:t>
      </w:r>
      <w:r>
        <w:rPr>
          <w:rFonts w:ascii="David" w:hAnsi="David" w:cs="David" w:hint="cs"/>
          <w:sz w:val="24"/>
          <w:szCs w:val="24"/>
          <w:rtl/>
        </w:rPr>
        <w:t>יום 00.00.97.</w:t>
      </w:r>
      <w:r w:rsidR="00014375">
        <w:rPr>
          <w:rFonts w:ascii="David" w:hAnsi="David" w:cs="David"/>
          <w:sz w:val="24"/>
          <w:szCs w:val="24"/>
          <w:rtl/>
        </w:rPr>
        <w:t xml:space="preserve"> מועד הקרע המוסכם הינו ביום 1.3.2018 (להלן - </w:t>
      </w:r>
      <w:r w:rsidR="00014375">
        <w:rPr>
          <w:rFonts w:ascii="David" w:hAnsi="David" w:cs="David"/>
          <w:b/>
          <w:bCs/>
          <w:sz w:val="24"/>
          <w:szCs w:val="24"/>
          <w:rtl/>
        </w:rPr>
        <w:t xml:space="preserve">"מועד הקרע", </w:t>
      </w:r>
      <w:r w:rsidR="00014375">
        <w:rPr>
          <w:rFonts w:ascii="David" w:hAnsi="David" w:cs="David"/>
          <w:sz w:val="24"/>
          <w:szCs w:val="24"/>
          <w:rtl/>
        </w:rPr>
        <w:t xml:space="preserve">ראו החלטה מיום 21.6.18). </w:t>
      </w:r>
    </w:p>
    <w:p w:rsidR="000859D3" w:rsidRPr="000859D3" w:rsidRDefault="000859D3" w:rsidP="000859D3">
      <w:pPr>
        <w:spacing w:line="360" w:lineRule="auto"/>
        <w:jc w:val="both"/>
        <w:rPr>
          <w:rFonts w:ascii="David" w:hAnsi="David"/>
          <w:b/>
          <w:bCs/>
          <w:u w:val="single"/>
        </w:rPr>
      </w:pPr>
    </w:p>
    <w:p w:rsidR="00014375" w:rsidRDefault="00014375" w:rsidP="00014375">
      <w:pPr>
        <w:pStyle w:val="ad"/>
        <w:spacing w:line="360" w:lineRule="auto"/>
        <w:ind w:left="368"/>
        <w:jc w:val="both"/>
        <w:rPr>
          <w:rFonts w:ascii="David" w:hAnsi="David" w:cs="David"/>
          <w:b/>
          <w:bCs/>
          <w:sz w:val="24"/>
          <w:szCs w:val="24"/>
          <w:u w:val="single"/>
        </w:rPr>
      </w:pPr>
    </w:p>
    <w:p w:rsidR="00014375" w:rsidRDefault="00014375" w:rsidP="00014375">
      <w:pPr>
        <w:pStyle w:val="ad"/>
        <w:spacing w:line="360" w:lineRule="auto"/>
        <w:ind w:left="368" w:hanging="560"/>
        <w:jc w:val="both"/>
        <w:rPr>
          <w:rFonts w:ascii="David" w:hAnsi="David" w:cs="David"/>
          <w:sz w:val="24"/>
          <w:szCs w:val="24"/>
          <w:rtl/>
        </w:rPr>
      </w:pPr>
    </w:p>
    <w:p w:rsidR="00014375" w:rsidRDefault="00014375" w:rsidP="00014375">
      <w:pPr>
        <w:pStyle w:val="ad"/>
        <w:spacing w:line="360" w:lineRule="auto"/>
        <w:ind w:left="368"/>
        <w:jc w:val="both"/>
        <w:rPr>
          <w:rFonts w:ascii="David" w:hAnsi="David" w:cs="David"/>
          <w:sz w:val="24"/>
          <w:szCs w:val="24"/>
          <w:rtl/>
        </w:rPr>
      </w:pPr>
      <w:r>
        <w:rPr>
          <w:rFonts w:ascii="David" w:hAnsi="David" w:cs="David"/>
          <w:sz w:val="24"/>
          <w:szCs w:val="24"/>
          <w:rtl/>
        </w:rPr>
        <w:lastRenderedPageBreak/>
        <w:t>כלל הנכסים שהיו לצדדים במועד הקרע הם כדלקמן:</w:t>
      </w:r>
    </w:p>
    <w:p w:rsidR="00014375" w:rsidRDefault="00014375" w:rsidP="00014375">
      <w:pPr>
        <w:pStyle w:val="ad"/>
        <w:spacing w:line="360" w:lineRule="auto"/>
        <w:ind w:left="368"/>
        <w:jc w:val="both"/>
        <w:rPr>
          <w:rFonts w:ascii="David" w:hAnsi="David" w:cs="David"/>
          <w:sz w:val="24"/>
          <w:szCs w:val="24"/>
          <w:rtl/>
        </w:rPr>
      </w:pPr>
    </w:p>
    <w:p w:rsidR="00014375" w:rsidRDefault="00014375" w:rsidP="00FC0658">
      <w:pPr>
        <w:pStyle w:val="ad"/>
        <w:numPr>
          <w:ilvl w:val="3"/>
          <w:numId w:val="2"/>
        </w:numPr>
        <w:spacing w:line="360" w:lineRule="auto"/>
        <w:ind w:left="1643" w:hanging="425"/>
        <w:jc w:val="both"/>
        <w:rPr>
          <w:rFonts w:ascii="David" w:hAnsi="David" w:cs="David"/>
          <w:sz w:val="24"/>
          <w:szCs w:val="24"/>
          <w:rtl/>
        </w:rPr>
      </w:pPr>
      <w:r>
        <w:rPr>
          <w:rFonts w:ascii="David" w:hAnsi="David" w:cs="David"/>
          <w:sz w:val="24"/>
          <w:szCs w:val="24"/>
          <w:rtl/>
        </w:rPr>
        <w:t xml:space="preserve">העסק של האיש, חברה בשם </w:t>
      </w:r>
      <w:r w:rsidR="00FC0658">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"החברה"</w:t>
      </w:r>
      <w:r>
        <w:rPr>
          <w:rFonts w:ascii="David" w:hAnsi="David" w:cs="David"/>
          <w:sz w:val="24"/>
          <w:szCs w:val="24"/>
          <w:rtl/>
        </w:rPr>
        <w:t xml:space="preserve">). </w:t>
      </w:r>
    </w:p>
    <w:p w:rsidR="00014375" w:rsidRDefault="00014375" w:rsidP="003F6CC4">
      <w:pPr>
        <w:pStyle w:val="ad"/>
        <w:numPr>
          <w:ilvl w:val="3"/>
          <w:numId w:val="2"/>
        </w:numPr>
        <w:spacing w:line="360" w:lineRule="auto"/>
        <w:ind w:left="1643" w:hanging="425"/>
        <w:jc w:val="both"/>
        <w:rPr>
          <w:rFonts w:ascii="David" w:hAnsi="David" w:cs="David"/>
          <w:sz w:val="24"/>
          <w:szCs w:val="24"/>
        </w:rPr>
      </w:pPr>
      <w:r>
        <w:rPr>
          <w:rFonts w:ascii="David" w:hAnsi="David" w:cs="David"/>
          <w:sz w:val="24"/>
          <w:szCs w:val="24"/>
          <w:rtl/>
        </w:rPr>
        <w:t xml:space="preserve">עסקיה של האישה, </w:t>
      </w:r>
      <w:r w:rsidR="003F6CC4">
        <w:rPr>
          <w:rFonts w:ascii="David" w:hAnsi="David" w:cs="David" w:hint="cs"/>
          <w:sz w:val="24"/>
          <w:szCs w:val="24"/>
          <w:rtl/>
        </w:rPr>
        <w:t xml:space="preserve"> .... </w:t>
      </w:r>
      <w:r w:rsidR="003F6CC4">
        <w:rPr>
          <w:rFonts w:ascii="David" w:hAnsi="David" w:cs="David"/>
          <w:sz w:val="24"/>
          <w:szCs w:val="24"/>
          <w:rtl/>
        </w:rPr>
        <w:t>, וכן עסק ש</w:t>
      </w:r>
      <w:r w:rsidR="003F6CC4">
        <w:rPr>
          <w:rFonts w:ascii="David" w:hAnsi="David" w:cs="David" w:hint="cs"/>
          <w:sz w:val="24"/>
          <w:szCs w:val="24"/>
          <w:rtl/>
        </w:rPr>
        <w:t xml:space="preserve">ל ... </w:t>
      </w:r>
      <w:r>
        <w:rPr>
          <w:rFonts w:ascii="David" w:hAnsi="David" w:cs="David"/>
          <w:sz w:val="24"/>
          <w:szCs w:val="24"/>
          <w:rtl/>
        </w:rPr>
        <w:t xml:space="preserve">. </w:t>
      </w:r>
    </w:p>
    <w:p w:rsidR="00014375" w:rsidRDefault="00014375" w:rsidP="00014375">
      <w:pPr>
        <w:pStyle w:val="ad"/>
        <w:numPr>
          <w:ilvl w:val="3"/>
          <w:numId w:val="2"/>
        </w:numPr>
        <w:spacing w:line="360" w:lineRule="auto"/>
        <w:ind w:left="1643" w:hanging="425"/>
        <w:jc w:val="both"/>
        <w:rPr>
          <w:rFonts w:ascii="David" w:hAnsi="David" w:cs="David"/>
          <w:sz w:val="24"/>
          <w:szCs w:val="24"/>
          <w:rtl/>
        </w:rPr>
      </w:pPr>
      <w:r>
        <w:rPr>
          <w:rFonts w:ascii="David" w:hAnsi="David" w:cs="David"/>
          <w:sz w:val="24"/>
          <w:szCs w:val="24"/>
          <w:rtl/>
        </w:rPr>
        <w:t>בית המגורים: בבעלות הצדדים בי</w:t>
      </w:r>
      <w:r w:rsidR="00FC0658">
        <w:rPr>
          <w:rFonts w:ascii="David" w:hAnsi="David" w:cs="David"/>
          <w:sz w:val="24"/>
          <w:szCs w:val="24"/>
          <w:rtl/>
        </w:rPr>
        <w:t>ת מגורים המצוי</w:t>
      </w:r>
      <w:r w:rsidR="00FC0658">
        <w:rPr>
          <w:rFonts w:ascii="David" w:hAnsi="David" w:cs="David" w:hint="cs"/>
          <w:sz w:val="24"/>
          <w:szCs w:val="24"/>
          <w:rtl/>
        </w:rPr>
        <w:t xml:space="preserve"> ....</w:t>
      </w:r>
      <w:r>
        <w:rPr>
          <w:rFonts w:ascii="David" w:hAnsi="David" w:cs="David"/>
          <w:sz w:val="24"/>
          <w:szCs w:val="24"/>
          <w:rtl/>
        </w:rPr>
        <w:t xml:space="preserve"> (להלן: "</w:t>
      </w:r>
      <w:r>
        <w:rPr>
          <w:rFonts w:ascii="David" w:hAnsi="David" w:cs="David"/>
          <w:b/>
          <w:bCs/>
          <w:sz w:val="24"/>
          <w:szCs w:val="24"/>
          <w:rtl/>
        </w:rPr>
        <w:t>בית המגורים"</w:t>
      </w:r>
      <w:r>
        <w:rPr>
          <w:rFonts w:ascii="David" w:hAnsi="David" w:cs="David"/>
          <w:sz w:val="24"/>
          <w:szCs w:val="24"/>
          <w:rtl/>
        </w:rPr>
        <w:t xml:space="preserve">), עליו רובצת משכנתא בסך כ-700,000 ₪. </w:t>
      </w:r>
    </w:p>
    <w:p w:rsidR="00014375" w:rsidRDefault="00014375" w:rsidP="00014375">
      <w:pPr>
        <w:pStyle w:val="ad"/>
        <w:numPr>
          <w:ilvl w:val="3"/>
          <w:numId w:val="2"/>
        </w:numPr>
        <w:spacing w:line="360" w:lineRule="auto"/>
        <w:ind w:left="1643" w:hanging="425"/>
        <w:jc w:val="both"/>
        <w:rPr>
          <w:rFonts w:ascii="David" w:hAnsi="David" w:cs="David"/>
          <w:sz w:val="24"/>
          <w:szCs w:val="24"/>
        </w:rPr>
      </w:pPr>
      <w:r>
        <w:rPr>
          <w:rFonts w:ascii="David" w:hAnsi="David" w:cs="David"/>
          <w:sz w:val="24"/>
          <w:szCs w:val="24"/>
          <w:rtl/>
        </w:rPr>
        <w:t>רכבים,</w:t>
      </w:r>
    </w:p>
    <w:p w:rsidR="00014375" w:rsidRDefault="00014375" w:rsidP="00014375">
      <w:pPr>
        <w:pStyle w:val="ad"/>
        <w:numPr>
          <w:ilvl w:val="3"/>
          <w:numId w:val="2"/>
        </w:numPr>
        <w:spacing w:line="360" w:lineRule="auto"/>
        <w:ind w:left="1643" w:hanging="425"/>
        <w:jc w:val="both"/>
        <w:rPr>
          <w:rFonts w:ascii="David" w:hAnsi="David" w:cs="David"/>
          <w:sz w:val="24"/>
          <w:szCs w:val="24"/>
          <w:rtl/>
        </w:rPr>
      </w:pPr>
      <w:r>
        <w:rPr>
          <w:rFonts w:ascii="David" w:hAnsi="David" w:cs="David"/>
          <w:sz w:val="24"/>
          <w:szCs w:val="24"/>
          <w:rtl/>
        </w:rPr>
        <w:t xml:space="preserve">חשבונות בנק, </w:t>
      </w:r>
    </w:p>
    <w:p w:rsidR="00014375" w:rsidRDefault="00014375" w:rsidP="00014375">
      <w:pPr>
        <w:pStyle w:val="ad"/>
        <w:numPr>
          <w:ilvl w:val="3"/>
          <w:numId w:val="2"/>
        </w:numPr>
        <w:spacing w:line="360" w:lineRule="auto"/>
        <w:ind w:left="1643" w:hanging="425"/>
        <w:jc w:val="both"/>
        <w:rPr>
          <w:rFonts w:ascii="David" w:hAnsi="David" w:cs="David"/>
          <w:sz w:val="24"/>
          <w:szCs w:val="24"/>
          <w:rtl/>
        </w:rPr>
      </w:pPr>
      <w:r>
        <w:rPr>
          <w:rFonts w:ascii="David" w:hAnsi="David" w:cs="David"/>
          <w:sz w:val="24"/>
          <w:szCs w:val="24"/>
          <w:rtl/>
        </w:rPr>
        <w:t xml:space="preserve">זכויות וחובות שנצברו במהלך החיים המשותפים. </w:t>
      </w:r>
    </w:p>
    <w:p w:rsidR="00014375" w:rsidRDefault="00014375" w:rsidP="00014375">
      <w:pPr>
        <w:pStyle w:val="ad"/>
        <w:spacing w:line="360" w:lineRule="auto"/>
        <w:jc w:val="both"/>
        <w:rPr>
          <w:rFonts w:ascii="David" w:hAnsi="David" w:cs="David"/>
          <w:b/>
          <w:bCs/>
          <w:sz w:val="24"/>
          <w:szCs w:val="24"/>
          <w:u w:val="single"/>
          <w:rtl/>
        </w:rPr>
      </w:pPr>
    </w:p>
    <w:p w:rsidR="00014375" w:rsidRDefault="00014375" w:rsidP="0001437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האישה עתרה, בין היתר, לאיזון ופירוק כלל הרכוש המשותף של הצדדים (ראו סעיף 55 ה' לכתב התביעה). האיש נאות במסגרת כתב ההגנה לאזן את כלל הנכסים באופן שווה בין הצדדים, ובהמשך אף ביקש לפרק את השיתוף בבית המגורים. האישה התנגדה לפירוק השיתוף בדרך של מכירת הבית, בטענה כי יש לבצע איזון כולל אשר בסופו היא תוכל לרכוש את חלקו של האיש בבית. להשלמת התמונה יצוין, כי ביום 23.6.20 ניתן פסק דין לפירוק השיתוף בבית הצדדים ע"י כב' השופטת מירית פולוס, ואולם במסגרת ערעור שהגישה האישה על פסק הדין נקבע כי החלטה זו מבוטלת ויש להמשיך ולדון בתביעה לגופה (ראו: פסק דין מיום 26.11.20 ברמ"ש 50180-07-20). </w:t>
      </w:r>
    </w:p>
    <w:p w:rsidR="00014375" w:rsidRDefault="00014375" w:rsidP="00014375">
      <w:pPr>
        <w:pStyle w:val="ad"/>
        <w:spacing w:line="360" w:lineRule="auto"/>
        <w:ind w:left="368"/>
        <w:jc w:val="both"/>
        <w:rPr>
          <w:rFonts w:ascii="David" w:hAnsi="David" w:cs="David"/>
          <w:sz w:val="24"/>
          <w:szCs w:val="24"/>
        </w:rPr>
      </w:pPr>
    </w:p>
    <w:p w:rsidR="00014375" w:rsidRDefault="00014375" w:rsidP="00014375">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נוכח טענות הצדדים הסותרות באשר לשווי החברה שבבעלות האיש והשתכרותו, מינה בית המשפט, בהתאם להסכמת הצדדים, מומחה מטעם בית המשפט לצורך הערכת אופן האיזון הסוציאלי והכספי בין הצדדים, וכן הערכת שווי החברה במועד הקרע. עוד נקבע, כי המומחה יבחן את הכנסות האיש מהחברה במהלך שלוש השנים האחרונות (החל מיום 1.3.15), לרבות משכורת, דיבידנדים, הלוואות בעלים או כל משיכה אחרת. (ראו החלטת כב' השופטת מירית פולוס, מיום 21.6.18). לאחר החלפת זהות המומחה מספר פעמים, הגיש המומחה </w:t>
      </w:r>
      <w:r>
        <w:rPr>
          <w:rFonts w:ascii="David" w:hAnsi="David" w:cs="David"/>
          <w:b/>
          <w:bCs/>
          <w:sz w:val="24"/>
          <w:szCs w:val="24"/>
          <w:rtl/>
        </w:rPr>
        <w:t>רו"ח אבי כהן</w:t>
      </w:r>
      <w:r>
        <w:rPr>
          <w:rFonts w:ascii="David" w:hAnsi="David" w:cs="David"/>
          <w:sz w:val="24"/>
          <w:szCs w:val="24"/>
          <w:rtl/>
        </w:rPr>
        <w:t xml:space="preserve"> (להלן: </w:t>
      </w:r>
      <w:r>
        <w:rPr>
          <w:rFonts w:ascii="David" w:hAnsi="David" w:cs="David"/>
          <w:b/>
          <w:bCs/>
          <w:sz w:val="24"/>
          <w:szCs w:val="24"/>
          <w:rtl/>
        </w:rPr>
        <w:t>"המומחה"</w:t>
      </w:r>
      <w:r>
        <w:rPr>
          <w:rFonts w:ascii="David" w:hAnsi="David" w:cs="David"/>
          <w:sz w:val="24"/>
          <w:szCs w:val="24"/>
          <w:rtl/>
        </w:rPr>
        <w:t xml:space="preserve"> או "</w:t>
      </w:r>
      <w:r>
        <w:rPr>
          <w:rFonts w:ascii="David" w:hAnsi="David" w:cs="David"/>
          <w:b/>
          <w:bCs/>
          <w:sz w:val="24"/>
          <w:szCs w:val="24"/>
          <w:rtl/>
        </w:rPr>
        <w:t>המומחה מטעם בית המשפט</w:t>
      </w:r>
      <w:r>
        <w:rPr>
          <w:rFonts w:ascii="David" w:hAnsi="David" w:cs="David"/>
          <w:sz w:val="24"/>
          <w:szCs w:val="24"/>
          <w:rtl/>
        </w:rPr>
        <w:t xml:space="preserve">") את חוות דעתו ביום 31.12.2019. </w:t>
      </w:r>
    </w:p>
    <w:p w:rsidR="00014375" w:rsidRDefault="00014375" w:rsidP="00014375">
      <w:pPr>
        <w:pStyle w:val="ad"/>
        <w:spacing w:line="360" w:lineRule="auto"/>
        <w:ind w:left="368"/>
        <w:jc w:val="both"/>
        <w:rPr>
          <w:rFonts w:ascii="David" w:hAnsi="David" w:cs="David"/>
          <w:sz w:val="24"/>
          <w:szCs w:val="24"/>
        </w:rPr>
      </w:pPr>
    </w:p>
    <w:p w:rsidR="00014375" w:rsidRDefault="00014375" w:rsidP="00014375">
      <w:pPr>
        <w:pStyle w:val="ad"/>
        <w:numPr>
          <w:ilvl w:val="0"/>
          <w:numId w:val="1"/>
        </w:numPr>
        <w:spacing w:line="360" w:lineRule="auto"/>
        <w:ind w:left="368"/>
        <w:jc w:val="both"/>
        <w:rPr>
          <w:rFonts w:ascii="David" w:hAnsi="David" w:cs="David"/>
          <w:sz w:val="24"/>
          <w:szCs w:val="24"/>
        </w:rPr>
      </w:pPr>
      <w:r>
        <w:rPr>
          <w:rFonts w:ascii="David" w:eastAsia="Times New Roman" w:hAnsi="David" w:cs="David"/>
          <w:color w:val="000000"/>
          <w:sz w:val="24"/>
          <w:szCs w:val="24"/>
          <w:rtl/>
        </w:rPr>
        <w:t xml:space="preserve">לאחר הגשת חוות הדעת </w:t>
      </w:r>
      <w:r>
        <w:rPr>
          <w:rFonts w:ascii="David" w:hAnsi="David" w:cs="David"/>
          <w:sz w:val="24"/>
          <w:szCs w:val="24"/>
          <w:rtl/>
        </w:rPr>
        <w:t xml:space="preserve">הגישה האישה שאלות הבהרה למומחה ואף ביקשה לזמנו לחקירה. לאחר מתן מענה לשאלות ההבהרה וכן לאחר חקירתו, הגיש המומחה </w:t>
      </w:r>
      <w:r>
        <w:rPr>
          <w:rFonts w:ascii="David" w:eastAsia="Times New Roman" w:hAnsi="David" w:cs="David"/>
          <w:color w:val="000000"/>
          <w:sz w:val="24"/>
          <w:szCs w:val="24"/>
          <w:rtl/>
        </w:rPr>
        <w:t xml:space="preserve">ביום 8.6.21 </w:t>
      </w:r>
      <w:r>
        <w:rPr>
          <w:rFonts w:ascii="David" w:hAnsi="David" w:cs="David"/>
          <w:sz w:val="24"/>
          <w:szCs w:val="24"/>
          <w:rtl/>
        </w:rPr>
        <w:t>חוות דעת מעודכנת.</w:t>
      </w:r>
    </w:p>
    <w:p w:rsidR="00014375" w:rsidRDefault="00014375" w:rsidP="00014375">
      <w:pPr>
        <w:pStyle w:val="ad"/>
        <w:rPr>
          <w:rFonts w:ascii="David" w:hAnsi="David" w:cs="David"/>
          <w:sz w:val="24"/>
          <w:szCs w:val="24"/>
          <w:rtl/>
        </w:rPr>
      </w:pPr>
    </w:p>
    <w:p w:rsidR="00FA77D0" w:rsidRDefault="00FA77D0" w:rsidP="00014375">
      <w:pPr>
        <w:pStyle w:val="ad"/>
        <w:rPr>
          <w:rFonts w:ascii="David" w:hAnsi="David" w:cs="David"/>
          <w:sz w:val="24"/>
          <w:szCs w:val="24"/>
          <w:rtl/>
        </w:rPr>
      </w:pPr>
    </w:p>
    <w:p w:rsidR="00FA77D0" w:rsidRDefault="00FA77D0" w:rsidP="00014375">
      <w:pPr>
        <w:pStyle w:val="ad"/>
        <w:rPr>
          <w:rFonts w:ascii="David" w:hAnsi="David" w:cs="David"/>
          <w:sz w:val="24"/>
          <w:szCs w:val="24"/>
          <w:rtl/>
        </w:rPr>
      </w:pPr>
    </w:p>
    <w:p w:rsidR="00FA77D0" w:rsidRDefault="00FA77D0" w:rsidP="00014375">
      <w:pPr>
        <w:pStyle w:val="ad"/>
        <w:rPr>
          <w:rFonts w:ascii="David" w:hAnsi="David" w:cs="David"/>
          <w:sz w:val="24"/>
          <w:szCs w:val="24"/>
        </w:rPr>
      </w:pPr>
    </w:p>
    <w:p w:rsidR="00014375" w:rsidRDefault="00014375" w:rsidP="00014375">
      <w:pPr>
        <w:pStyle w:val="ad"/>
        <w:spacing w:line="360" w:lineRule="auto"/>
        <w:ind w:left="368"/>
        <w:jc w:val="both"/>
        <w:rPr>
          <w:rFonts w:ascii="David" w:hAnsi="David" w:cs="David"/>
          <w:sz w:val="24"/>
          <w:szCs w:val="24"/>
          <w:rtl/>
        </w:rPr>
      </w:pPr>
      <w:r>
        <w:rPr>
          <w:rFonts w:ascii="David" w:hAnsi="David" w:cs="David"/>
          <w:b/>
          <w:bCs/>
          <w:sz w:val="24"/>
          <w:szCs w:val="24"/>
          <w:u w:val="single"/>
          <w:rtl/>
        </w:rPr>
        <w:lastRenderedPageBreak/>
        <w:t>תמצית טענות האישה:</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לעניין הרכבים טענה האישה, כי לצדדים ארבעה רכבים הרשומים על שם האיש. לטענתה, האיש נטל הלוואות ושיעבד את הרכבים לאחר המועד הקובע – 1.3.2018, ולפיכך על האיש לפרוע הלוואות אלו לבדו. לפיכך לטענתה יש להורות על מכירת הרכבים וחלוקת התמורה בין הצדדים בחלקים שווים, כאשר פירעון ההלוואות יוטל על האיש לבדו.</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לעניין עסקי הצדדים טענה האישה, כי לשני הצדדים עסקים, כאשר לפי חוות דעת המומחה שווי עסקה של האישה הנו אפס, ואילו שווי החברה של האיש לפי חוות דעת המומחה הוא 152,884 ₪, ולפיכך על האיש להעביר לאישה מחצית משווי החברה בסך 76,442 ₪.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לעניין חשבונות הבנק של האיש נטען, כי במסגרת חוות דעת המומחה המתוקנת מיום 8.6.21 ציין המומחה כי יתרת חשבון הבנק של האיש עומדת על יתרת חובה בסך 17,269 ₪, וזאת מבלי  לאזכר חיסכון על סך 84,140 ₪ שהיה מופקד בחשבון הבנק של האיש. במענה לשאלות ההבהרה השיב המומחה כי האיש העביר מהחשבון הפרטי לחשבון העסקי סך של 84,140 ₪ בסוף חודש ינואר 2018. בחוות הדעת המתוקנת המומחה חייב את שני הצדדים בהעברת הסכום על אף העברה פרטית של האיש, ולפיכך טוענת האישה כי על האיש לעביר אליה תוספת בסך 42,070 ₪.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לעניין חשבונות הבנק של האישה נטען, כי המומחה פירט את חיובי האישה בחשבונות הבנק, דהיינו זקף לחובתה בלבד משיכות שביצעה מחשבון הבנק בבנק המזרחי בתקופת החיים המשותפים בסך 126,000 ₪. לטענת האישה, היה על המומחה לחייב את האיש בתשלום מחצית מסכום זה, ולפיכך יש להוסיף ליתרת זכויות האישה סך נוסף של 63,000 ₪.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עוד טוענת האישה, כי במקרה דנן ונוכח יכולותיו הכלכליות של האיש אשר עולות על יכולותיה של האישה, ובמצב בו נוצר אי שוויון בין הצדדים, יש לקבוע כי האיזון בין הצדדים לא יהיה מחצה על מחצה, אלא בהתאם לסעיף 8 לחוק יחסי ממון יש לקבוע יחס של 70% לאישה ו-30% לאיש. לטענתה, נוכח פערי ההשתכרות של הצדדים ובשים לב לכך שהאישה יוצאת לדרך מקצועית חדשה לעומת האיש שהנו בעל ניסיון עסקי רב, וכן בשים לב לכך שהאישה מגדלת את הקטינים לבדה, יש להורות כי הזכויות בבית המגורים יחולקו ביחס של 30% לאיש ו-70% לאישה.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בנוסף טוענת האישה, כי אין להורות על פירוק שיתוף מידי בבית המגורים, וזאת בהתאם להוראות סעיף 40א לחוק המקרקעין וסעיף 6א לחוק יחסי ממון, אשר קובעים כי יש לדאוג למדור הולם חלופי לקטינים ולאישה המתגוררים בבית המגורים. כמו כן, האישה מעוניינת לרכוש את חלקו של האיש בבית המגורים, ובניכוי כל הסכומים שעל האיש לשלם לאישה, הרי </w:t>
      </w:r>
      <w:r>
        <w:rPr>
          <w:rFonts w:ascii="David" w:hAnsi="David" w:cs="David"/>
          <w:sz w:val="24"/>
          <w:szCs w:val="24"/>
          <w:rtl/>
        </w:rPr>
        <w:lastRenderedPageBreak/>
        <w:t xml:space="preserve">שככל והזכויות בבית המגורים יחולקו באופן שאינו שווה כפי שביקשה, תהיה לאישה האפשרות לרכוש את חלקו של האיש.  </w:t>
      </w:r>
    </w:p>
    <w:p w:rsidR="00014375" w:rsidRDefault="00014375" w:rsidP="00014375">
      <w:pPr>
        <w:pStyle w:val="ad"/>
        <w:rPr>
          <w:rFonts w:ascii="David" w:hAnsi="David" w:cs="David"/>
          <w:sz w:val="24"/>
          <w:szCs w:val="24"/>
        </w:rPr>
      </w:pPr>
    </w:p>
    <w:p w:rsidR="00014375" w:rsidRDefault="00014375" w:rsidP="00014375">
      <w:pPr>
        <w:pStyle w:val="ad"/>
        <w:spacing w:line="360" w:lineRule="auto"/>
        <w:ind w:left="368"/>
        <w:jc w:val="both"/>
        <w:rPr>
          <w:rFonts w:ascii="David" w:hAnsi="David" w:cs="David"/>
          <w:b/>
          <w:bCs/>
          <w:sz w:val="24"/>
          <w:szCs w:val="24"/>
          <w:u w:val="single"/>
          <w:rtl/>
        </w:rPr>
      </w:pPr>
      <w:r>
        <w:rPr>
          <w:rFonts w:ascii="David" w:hAnsi="David" w:cs="David"/>
          <w:b/>
          <w:bCs/>
          <w:sz w:val="24"/>
          <w:szCs w:val="24"/>
          <w:u w:val="single"/>
          <w:rtl/>
        </w:rPr>
        <w:t xml:space="preserve">תמצית טענות האיש: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לטענת האיש, יש להורות על פירוק שיתוף מידי בבית הצדדים בדרך של כינוס חיצוני או דרך כינוס הוצל"פ. לטענתו, האישה עשתה ככל שביכולתה לעכב ולסכל את מכירת בית</w:t>
      </w:r>
      <w:r w:rsidR="008C7AFA">
        <w:rPr>
          <w:rFonts w:ascii="David" w:hAnsi="David" w:cs="David"/>
          <w:sz w:val="24"/>
          <w:szCs w:val="24"/>
          <w:rtl/>
        </w:rPr>
        <w:t xml:space="preserve"> הצדדים. מתמורת המכירה יש לקזז </w:t>
      </w:r>
      <w:r>
        <w:rPr>
          <w:rFonts w:ascii="David" w:hAnsi="David" w:cs="David"/>
          <w:sz w:val="24"/>
          <w:szCs w:val="24"/>
          <w:rtl/>
        </w:rPr>
        <w:t xml:space="preserve">דמי שימוש ראויים, את חלקה של האישה בתשלום שכר טרחת המומחים – השמאי והאקטואר, ערך כספי של השימוש שעשתה בבית להפעלת שני עסקיה ללא אישור תוך ניפוח הוצאות חשמל, מים וגז, בהם נשא האיש לבדו על אף שלא התגורר בבית, וכן קיזוז תשלומי המשכנתא בהם נשא האיש לבדו. כמו כן, לטענתו יש להורות כי כספי הכינוס ישולמו מחלקה של האישה או לחילופין בחלקים שאינם שווים, בשל התנהלות האישה בחוסר תום לב בגרימת הימשכות ההליכים וסיכול פירוק השיתוף.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לטענתו, לפי חוות דעת השמאי, דמי השימוש בבית הצדדים עומדים על סך של 6,700 ₪ לחודש, ולפיכך על האישה לשלם לאיש סך 3,350 ₪ לחודש בגין דמי שימוש, וזאת מיום 1.12.2017 שמאז מתגוררת בבית הצדדים לבדה , ועד למועד מתן פסק הדין.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לעניין הרכבים נטען, כי האיש הגיש אינספור בקשות למכירת הרכבים באופן מידי באמצעות מינוי כונס נכסים חיצוני או כונס מטעם הוצל"פ, ואולם האישה סירבה למכירת הרכבים. לפיכך יש להורות על מכירת כל הרכבים בדרך של כינוס חיצוני וחלוקת התמורה בחלקים שווים בין הצדדים בהתאם לקיזוזים מתאימים בחוות הדעת.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לעניין חוות דעת המומחה – האקטואר, טען האיש, כי יש ליתן תוקף לחוות דעת המומחה ולהורות על איזון משאבים בהתאם לחלופה א' שבחוות הדעת. </w:t>
      </w:r>
    </w:p>
    <w:p w:rsidR="00014375" w:rsidRDefault="00014375" w:rsidP="00014375">
      <w:pPr>
        <w:pStyle w:val="ad"/>
        <w:rPr>
          <w:rFonts w:ascii="David" w:hAnsi="David" w:cs="David"/>
          <w:sz w:val="24"/>
          <w:szCs w:val="24"/>
        </w:rPr>
      </w:pPr>
    </w:p>
    <w:p w:rsidR="00014375" w:rsidRDefault="00014375" w:rsidP="00014375">
      <w:pPr>
        <w:spacing w:line="360" w:lineRule="auto"/>
        <w:ind w:firstLine="284"/>
        <w:jc w:val="both"/>
        <w:rPr>
          <w:rFonts w:ascii="David" w:hAnsi="David"/>
          <w:b/>
          <w:bCs/>
          <w:u w:val="single"/>
          <w:rtl/>
        </w:rPr>
      </w:pPr>
      <w:r>
        <w:rPr>
          <w:rFonts w:ascii="David" w:hAnsi="David"/>
          <w:b/>
          <w:bCs/>
          <w:u w:val="single"/>
          <w:rtl/>
        </w:rPr>
        <w:t>דיון והכרעה</w:t>
      </w:r>
    </w:p>
    <w:p w:rsidR="00014375" w:rsidRDefault="00014375" w:rsidP="00014375">
      <w:pPr>
        <w:spacing w:line="360" w:lineRule="auto"/>
        <w:ind w:firstLine="284"/>
        <w:jc w:val="both"/>
        <w:rPr>
          <w:rFonts w:ascii="David" w:hAnsi="David"/>
          <w:b/>
          <w:bCs/>
          <w:u w:val="single"/>
          <w:rtl/>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eastAsia="Times New Roman" w:hAnsi="David" w:cs="David"/>
          <w:color w:val="000000"/>
          <w:sz w:val="24"/>
          <w:szCs w:val="24"/>
          <w:rtl/>
        </w:rPr>
        <w:t xml:space="preserve">כאמור, לשם בחינת טענות הצדדים וביצוע איזון המשאבים מונה מומחה מטעם בית המשפט - רו"ח אבי כהן.  </w:t>
      </w:r>
    </w:p>
    <w:p w:rsidR="00014375" w:rsidRDefault="00014375" w:rsidP="00014375">
      <w:pPr>
        <w:pStyle w:val="ad"/>
        <w:spacing w:line="360" w:lineRule="auto"/>
        <w:jc w:val="both"/>
        <w:rPr>
          <w:rFonts w:ascii="David" w:hAnsi="David" w:cs="David"/>
          <w:sz w:val="24"/>
          <w:szCs w:val="24"/>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מינוי מומחה נועד לסייע לבית המשפט להכריע בסוגיות המחייבות ידע מקצועי שבמומחיות. ראו בהקשר זה ע"א 5509/09 </w:t>
      </w:r>
      <w:r>
        <w:rPr>
          <w:rFonts w:ascii="David" w:eastAsia="Times New Roman" w:hAnsi="David" w:cs="David"/>
          <w:b/>
          <w:bCs/>
          <w:color w:val="000000"/>
          <w:sz w:val="24"/>
          <w:szCs w:val="24"/>
          <w:rtl/>
        </w:rPr>
        <w:t>מסארווה נ' מסארווה</w:t>
      </w:r>
      <w:r>
        <w:rPr>
          <w:rFonts w:ascii="David" w:eastAsia="Times New Roman" w:hAnsi="David" w:cs="David"/>
          <w:color w:val="000000"/>
          <w:sz w:val="24"/>
          <w:szCs w:val="24"/>
          <w:rtl/>
        </w:rPr>
        <w:t>, פסקה 14 לפסה"ד מיום 23.02.2014:</w:t>
      </w:r>
    </w:p>
    <w:p w:rsidR="00014375" w:rsidRDefault="00014375" w:rsidP="00014375">
      <w:pPr>
        <w:pStyle w:val="ad"/>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Pr>
        <w:t> </w:t>
      </w:r>
    </w:p>
    <w:p w:rsidR="00014375" w:rsidRDefault="00014375" w:rsidP="00014375">
      <w:pPr>
        <w:pStyle w:val="ad"/>
        <w:shd w:val="clear" w:color="auto" w:fill="FFFFFF"/>
        <w:spacing w:after="0" w:line="360" w:lineRule="auto"/>
        <w:ind w:left="1076" w:right="1134"/>
        <w:jc w:val="both"/>
        <w:rPr>
          <w:rFonts w:ascii="David" w:eastAsia="Times New Roman" w:hAnsi="David" w:cs="David"/>
          <w:color w:val="000000"/>
          <w:sz w:val="24"/>
          <w:szCs w:val="24"/>
          <w:rtl/>
        </w:rPr>
      </w:pPr>
      <w:r>
        <w:rPr>
          <w:rFonts w:ascii="David" w:eastAsia="Times New Roman" w:hAnsi="David" w:cs="David"/>
          <w:color w:val="000000"/>
          <w:sz w:val="24"/>
          <w:szCs w:val="24"/>
          <w:rtl/>
        </w:rPr>
        <w:lastRenderedPageBreak/>
        <w:t>"</w:t>
      </w:r>
      <w:r>
        <w:rPr>
          <w:rFonts w:ascii="David" w:eastAsia="Times New Roman" w:hAnsi="David" w:cs="David"/>
          <w:b/>
          <w:bCs/>
          <w:color w:val="000000"/>
          <w:sz w:val="24"/>
          <w:szCs w:val="24"/>
          <w:rtl/>
        </w:rPr>
        <w:t>מינוי מומחה מטעם בית המשפט היא פרקטיקה ידועה ומקובלת במקרים בהם מתעוררת סוגיה המצריכה ידע מקצועי שבמומחיות, אשר לגביה נזקק בית המשפט לכלי עזר אובייקטיבי על מנת שיוכל להגיע לפתרון יעיל וצודק של הסכסוך. חוות דעתו של המומחה היא אומנם רק אחת מן הראיות העומדות בפני בית המשפט ואין בה כדי להגביל את שיקול דעתו או לגרוע מן הסמכות הנתונה לו להכריע באופן סופי במחלוקת שנתגלעה בין הצדדים</w:t>
      </w:r>
      <w:r>
        <w:rPr>
          <w:rFonts w:ascii="David" w:eastAsia="Times New Roman" w:hAnsi="David" w:cs="David"/>
          <w:color w:val="000000"/>
          <w:sz w:val="24"/>
          <w:szCs w:val="24"/>
          <w:rtl/>
        </w:rPr>
        <w:t>".</w:t>
      </w:r>
    </w:p>
    <w:p w:rsidR="00014375" w:rsidRDefault="00014375" w:rsidP="00014375">
      <w:pPr>
        <w:pStyle w:val="ad"/>
        <w:shd w:val="clear" w:color="auto" w:fill="FFFFFF"/>
        <w:spacing w:after="0" w:line="360" w:lineRule="auto"/>
        <w:jc w:val="both"/>
        <w:rPr>
          <w:rFonts w:ascii="David" w:eastAsia="Times New Roman" w:hAnsi="David" w:cs="David"/>
          <w:color w:val="000000"/>
          <w:sz w:val="24"/>
          <w:szCs w:val="24"/>
          <w:rtl/>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b/>
          <w:bCs/>
          <w:color w:val="000000"/>
          <w:sz w:val="24"/>
          <w:szCs w:val="24"/>
          <w:rtl/>
        </w:rPr>
      </w:pPr>
      <w:r>
        <w:rPr>
          <w:rFonts w:ascii="David" w:eastAsia="Times New Roman" w:hAnsi="David" w:cs="David"/>
          <w:color w:val="000000"/>
          <w:sz w:val="24"/>
          <w:szCs w:val="24"/>
          <w:rtl/>
        </w:rPr>
        <w:t xml:space="preserve">נפסק כי בהעדר סיבה בולטת לעין, ייטה בית המשפט לאמץ את מסקנותיו של המומחה שמינה (ראו: רע"א 1773/15 </w:t>
      </w:r>
      <w:r>
        <w:rPr>
          <w:rFonts w:ascii="David" w:eastAsia="Times New Roman" w:hAnsi="David" w:cs="David"/>
          <w:b/>
          <w:bCs/>
          <w:color w:val="000000"/>
          <w:sz w:val="24"/>
          <w:szCs w:val="24"/>
          <w:rtl/>
        </w:rPr>
        <w:t>קלדרון אינסטלציה בע"מ נ' רו"ח אמיר</w:t>
      </w:r>
      <w:r>
        <w:rPr>
          <w:rFonts w:ascii="David" w:eastAsia="Times New Roman" w:hAnsi="David" w:cs="David"/>
          <w:color w:val="000000"/>
          <w:sz w:val="24"/>
          <w:szCs w:val="24"/>
          <w:rtl/>
        </w:rPr>
        <w:t xml:space="preserve">,  מיום 20.04.2015). עוד נפסק, כי עילות ההתערבות של בית המשפט בחוות דעת המומחה מצומצמות למקרים יוצאי דופן, לטעות גסה, פגיעה בכללי צדק טבעי, חריגה מסמכות, מרמה וכיוצ"ב.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b/>
          <w:bCs/>
          <w:color w:val="000000"/>
          <w:sz w:val="24"/>
          <w:szCs w:val="24"/>
          <w:rtl/>
        </w:rPr>
      </w:pPr>
      <w:r>
        <w:rPr>
          <w:rFonts w:ascii="David" w:eastAsia="Times New Roman" w:hAnsi="David" w:cs="David"/>
          <w:color w:val="000000"/>
          <w:sz w:val="24"/>
          <w:szCs w:val="24"/>
          <w:rtl/>
        </w:rPr>
        <w:t xml:space="preserve">בענייננו, המומחה הגיש את חוות הדעת ביום 1.3.2020. לאחר מענה לשאלות ההבהרה שהגישה האישה ולאחר חקירתו במסגרת ישיבת ההוכחות, הגיש המומחה חוות דעת מעודכנת מיום 8.6.21 (שהוגשה לתיק בית המשפט ביום 10.6.21, להלן: </w:t>
      </w:r>
      <w:r>
        <w:rPr>
          <w:rFonts w:ascii="David" w:eastAsia="Times New Roman" w:hAnsi="David" w:cs="David"/>
          <w:b/>
          <w:bCs/>
          <w:color w:val="000000"/>
          <w:sz w:val="24"/>
          <w:szCs w:val="24"/>
          <w:rtl/>
        </w:rPr>
        <w:t>"חוות הדעת המעודכנת"</w:t>
      </w:r>
      <w:r>
        <w:rPr>
          <w:rFonts w:ascii="David" w:eastAsia="Times New Roman" w:hAnsi="David" w:cs="David"/>
          <w:color w:val="000000"/>
          <w:sz w:val="24"/>
          <w:szCs w:val="24"/>
          <w:rtl/>
        </w:rPr>
        <w:t>). ביום 20.7.21 הגיש המומחה תשובות לשאלות ההבהרה שהגישה האישה על חוות הדעת המעודכנת, וציין כי לא מצא לשנות את חוות הדעת המעודכנת שהוגשה.</w:t>
      </w:r>
    </w:p>
    <w:p w:rsidR="00014375" w:rsidRDefault="00014375" w:rsidP="00014375">
      <w:pPr>
        <w:pStyle w:val="ad"/>
        <w:rPr>
          <w:rFonts w:ascii="David" w:eastAsia="Times New Roman" w:hAnsi="David" w:cs="David"/>
          <w:color w:val="000000"/>
          <w:sz w:val="24"/>
          <w:szCs w:val="24"/>
        </w:rPr>
      </w:pPr>
    </w:p>
    <w:p w:rsidR="00014375" w:rsidRDefault="00014375" w:rsidP="00014375">
      <w:pPr>
        <w:pStyle w:val="ad"/>
        <w:shd w:val="clear" w:color="auto" w:fill="FFFFFF"/>
        <w:spacing w:after="0" w:line="360" w:lineRule="auto"/>
        <w:ind w:left="644"/>
        <w:jc w:val="both"/>
        <w:rPr>
          <w:rFonts w:ascii="David" w:eastAsia="Times New Roman" w:hAnsi="David" w:cs="David"/>
          <w:color w:val="000000"/>
          <w:sz w:val="24"/>
          <w:szCs w:val="24"/>
          <w:rtl/>
        </w:rPr>
      </w:pPr>
      <w:r>
        <w:rPr>
          <w:rFonts w:ascii="David" w:eastAsia="Times New Roman" w:hAnsi="David" w:cs="David"/>
          <w:b/>
          <w:bCs/>
          <w:color w:val="000000"/>
          <w:sz w:val="24"/>
          <w:szCs w:val="24"/>
          <w:u w:val="single"/>
          <w:rtl/>
        </w:rPr>
        <w:t>עסקיהם של הצדדים:</w:t>
      </w:r>
      <w:r>
        <w:rPr>
          <w:rFonts w:ascii="David" w:eastAsia="Times New Roman" w:hAnsi="David" w:cs="David"/>
          <w:color w:val="000000"/>
          <w:sz w:val="24"/>
          <w:szCs w:val="24"/>
          <w:rtl/>
        </w:rPr>
        <w:t xml:space="preserve"> </w:t>
      </w:r>
    </w:p>
    <w:p w:rsidR="00014375" w:rsidRDefault="00014375" w:rsidP="00014375">
      <w:pPr>
        <w:pStyle w:val="ad"/>
        <w:shd w:val="clear" w:color="auto" w:fill="FFFFFF"/>
        <w:spacing w:after="0" w:line="360" w:lineRule="auto"/>
        <w:ind w:left="644"/>
        <w:jc w:val="both"/>
        <w:rPr>
          <w:rFonts w:ascii="David" w:eastAsia="Times New Roman" w:hAnsi="David" w:cs="David"/>
          <w:color w:val="000000"/>
          <w:sz w:val="24"/>
          <w:szCs w:val="24"/>
          <w:rtl/>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לפי חוות </w:t>
      </w:r>
      <w:r w:rsidR="00FB6191">
        <w:rPr>
          <w:rFonts w:ascii="David" w:eastAsia="Times New Roman" w:hAnsi="David" w:cs="David"/>
          <w:color w:val="000000"/>
          <w:sz w:val="24"/>
          <w:szCs w:val="24"/>
          <w:rtl/>
        </w:rPr>
        <w:t xml:space="preserve">דעת המומחה, לאיש חברה בשם </w:t>
      </w:r>
      <w:r w:rsidR="00FB6191">
        <w:rPr>
          <w:rFonts w:ascii="David" w:eastAsia="Times New Roman" w:hAnsi="David" w:cs="David" w:hint="cs"/>
          <w:color w:val="000000"/>
          <w:sz w:val="24"/>
          <w:szCs w:val="24"/>
          <w:rtl/>
        </w:rPr>
        <w:t xml:space="preserve">... </w:t>
      </w:r>
      <w:r>
        <w:rPr>
          <w:rFonts w:ascii="David" w:eastAsia="Times New Roman" w:hAnsi="David" w:cs="David"/>
          <w:color w:val="000000"/>
          <w:sz w:val="24"/>
          <w:szCs w:val="24"/>
          <w:rtl/>
        </w:rPr>
        <w:t xml:space="preserve">, אשר הוקמה בשנת 2002 כעוסק מורשה, ובשנת 2012 הפכה לחברה בע"מ. ביום 13.8.2017 פרצה שריפה במקום בו מוקם העסק וכתוצאה מהשריפה עלה באש כל המלאי העסקי של החברה, אשר לטענת האיש לא היה מבוטח. במהלך חודש ספטמבר 2018 נערכה לחברה שומת ניכויים והחברה חויבה בתשלום בסך 170,000 ₪ ובתוספת ריבית והצמדה, וכן צפויה לחבות ביטוח לאומי בסך של 65,000 ₪ בתוספת ריבית והצמדה. לפי חוות הדעת המעודכנת, שווי החברה הינו בסך של 152,884 ₪ (המורכב משווי הפעילות העסקית בסך של אפס ₪ ובתוספת שווי הנכסים העודפים נטו בסך של 152,884 ₪). לפיכך חלקה של האישה בשווי החברה הינו 76,442 ₪. </w:t>
      </w:r>
    </w:p>
    <w:p w:rsidR="00014375" w:rsidRDefault="00014375" w:rsidP="00014375">
      <w:pPr>
        <w:pStyle w:val="ad"/>
        <w:shd w:val="clear" w:color="auto" w:fill="FFFFFF"/>
        <w:spacing w:after="0" w:line="360" w:lineRule="auto"/>
        <w:ind w:left="644"/>
        <w:jc w:val="both"/>
        <w:rPr>
          <w:rFonts w:ascii="David" w:eastAsia="Times New Roman" w:hAnsi="David" w:cs="David"/>
          <w:color w:val="000000"/>
          <w:sz w:val="24"/>
          <w:szCs w:val="24"/>
        </w:rPr>
      </w:pPr>
    </w:p>
    <w:p w:rsidR="00014375" w:rsidRPr="003F6CC4" w:rsidRDefault="00014375" w:rsidP="003F6CC4">
      <w:pPr>
        <w:pStyle w:val="ad"/>
        <w:numPr>
          <w:ilvl w:val="0"/>
          <w:numId w:val="1"/>
        </w:numPr>
        <w:shd w:val="clear" w:color="auto" w:fill="FFFFFF"/>
        <w:spacing w:after="0" w:line="360" w:lineRule="auto"/>
        <w:jc w:val="both"/>
        <w:rPr>
          <w:rFonts w:ascii="David" w:eastAsia="Times New Roman" w:hAnsi="David" w:cs="David"/>
          <w:color w:val="000000"/>
          <w:sz w:val="24"/>
          <w:szCs w:val="24"/>
        </w:rPr>
      </w:pPr>
      <w:r w:rsidRPr="003F6CC4">
        <w:rPr>
          <w:rFonts w:ascii="David" w:eastAsia="Times New Roman" w:hAnsi="David" w:cs="David"/>
          <w:color w:val="000000"/>
          <w:sz w:val="24"/>
          <w:szCs w:val="24"/>
          <w:rtl/>
        </w:rPr>
        <w:t>מנגד קבע המומחה כי לאשה עסק</w:t>
      </w:r>
      <w:r w:rsidR="003F6CC4" w:rsidRPr="003F6CC4">
        <w:rPr>
          <w:rFonts w:ascii="David" w:eastAsia="Times New Roman" w:hAnsi="David" w:cs="David" w:hint="cs"/>
          <w:color w:val="000000"/>
          <w:sz w:val="24"/>
          <w:szCs w:val="24"/>
          <w:rtl/>
        </w:rPr>
        <w:t xml:space="preserve"> ... </w:t>
      </w:r>
      <w:r w:rsidRPr="003F6CC4">
        <w:rPr>
          <w:rFonts w:ascii="David" w:eastAsia="Times New Roman" w:hAnsi="David" w:cs="David"/>
          <w:color w:val="000000"/>
          <w:sz w:val="24"/>
          <w:szCs w:val="24"/>
          <w:rtl/>
        </w:rPr>
        <w:t xml:space="preserve">. כמו כן, במהלך סוף שנת 2017 רכשה האישה עסק של </w:t>
      </w:r>
      <w:r w:rsidR="003F6CC4" w:rsidRPr="003F6CC4">
        <w:rPr>
          <w:rFonts w:ascii="David" w:eastAsia="Times New Roman" w:hAnsi="David" w:cs="David" w:hint="cs"/>
          <w:color w:val="000000"/>
          <w:sz w:val="24"/>
          <w:szCs w:val="24"/>
          <w:rtl/>
        </w:rPr>
        <w:t>...</w:t>
      </w:r>
      <w:r w:rsidRPr="003F6CC4">
        <w:rPr>
          <w:rFonts w:ascii="David" w:eastAsia="Times New Roman" w:hAnsi="David" w:cs="David"/>
          <w:color w:val="000000"/>
          <w:sz w:val="24"/>
          <w:szCs w:val="24"/>
          <w:rtl/>
        </w:rPr>
        <w:t xml:space="preserve"> אותו רצתה לפתח. המומחה קבע כי שווי עסקה של האישה הינו אפס ₪. </w:t>
      </w:r>
    </w:p>
    <w:p w:rsidR="00014375" w:rsidRDefault="00014375" w:rsidP="00014375">
      <w:pPr>
        <w:pStyle w:val="ad"/>
        <w:rPr>
          <w:rFonts w:ascii="David" w:eastAsia="Times New Roman" w:hAnsi="David" w:cs="David"/>
          <w:color w:val="000000"/>
          <w:sz w:val="24"/>
          <w:szCs w:val="24"/>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lastRenderedPageBreak/>
        <w:t xml:space="preserve">שני הצדדים קיבלו את חוות הדעת לעניין הערכת שווי עסקי הצדדים (ראו: סעיף 12 א,ב, לסיכומי האישה, וסעיף 25. 2 לסיכומי האיש).  לפיכך, חלקה של האישה בשווי החברה הינו </w:t>
      </w:r>
      <w:r>
        <w:rPr>
          <w:rFonts w:ascii="David" w:eastAsia="Times New Roman" w:hAnsi="David" w:cs="David"/>
          <w:b/>
          <w:bCs/>
          <w:color w:val="000000"/>
          <w:sz w:val="24"/>
          <w:szCs w:val="24"/>
          <w:rtl/>
        </w:rPr>
        <w:t xml:space="preserve">76,442 ₪, </w:t>
      </w:r>
      <w:r>
        <w:rPr>
          <w:rFonts w:ascii="David" w:eastAsia="Times New Roman" w:hAnsi="David" w:cs="David"/>
          <w:color w:val="000000"/>
          <w:sz w:val="24"/>
          <w:szCs w:val="24"/>
          <w:rtl/>
        </w:rPr>
        <w:t xml:space="preserve">למועד הגשת חוות הדעת המעודכנת. </w:t>
      </w:r>
    </w:p>
    <w:p w:rsidR="00014375" w:rsidRDefault="00014375" w:rsidP="00014375">
      <w:pPr>
        <w:pStyle w:val="ad"/>
        <w:rPr>
          <w:rFonts w:ascii="David" w:eastAsia="Times New Roman" w:hAnsi="David" w:cs="David"/>
          <w:color w:val="000000"/>
          <w:sz w:val="24"/>
          <w:szCs w:val="24"/>
        </w:rPr>
      </w:pPr>
    </w:p>
    <w:p w:rsidR="00014375" w:rsidRDefault="00014375" w:rsidP="00014375">
      <w:pPr>
        <w:pStyle w:val="ad"/>
        <w:shd w:val="clear" w:color="auto" w:fill="FFFFFF"/>
        <w:spacing w:after="0" w:line="360" w:lineRule="auto"/>
        <w:ind w:left="644"/>
        <w:jc w:val="both"/>
        <w:rPr>
          <w:rFonts w:ascii="David" w:eastAsia="Times New Roman" w:hAnsi="David" w:cs="David"/>
          <w:color w:val="000000"/>
          <w:sz w:val="24"/>
          <w:szCs w:val="24"/>
          <w:rtl/>
        </w:rPr>
      </w:pPr>
      <w:r>
        <w:rPr>
          <w:rFonts w:ascii="David" w:eastAsia="Times New Roman" w:hAnsi="David" w:cs="David"/>
          <w:b/>
          <w:bCs/>
          <w:color w:val="000000"/>
          <w:sz w:val="24"/>
          <w:szCs w:val="24"/>
          <w:u w:val="single"/>
          <w:rtl/>
        </w:rPr>
        <w:t>איזון הזכויות הסוציאליות וחשבונות הבנק של הצדדים:</w:t>
      </w:r>
      <w:r>
        <w:rPr>
          <w:rFonts w:ascii="David" w:eastAsia="Times New Roman" w:hAnsi="David" w:cs="David"/>
          <w:color w:val="000000"/>
          <w:sz w:val="24"/>
          <w:szCs w:val="24"/>
          <w:rtl/>
        </w:rPr>
        <w:t xml:space="preserve"> </w:t>
      </w:r>
    </w:p>
    <w:p w:rsidR="00014375" w:rsidRDefault="00014375" w:rsidP="00014375">
      <w:pPr>
        <w:pStyle w:val="ad"/>
        <w:rPr>
          <w:rFonts w:ascii="David" w:eastAsia="Times New Roman" w:hAnsi="David" w:cs="David"/>
          <w:color w:val="000000"/>
          <w:sz w:val="24"/>
          <w:szCs w:val="24"/>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לאישה היו שתי השגות לעניין האיזון שביצע המומחה ואשר התייחסו לחשבונות הבנק של הצדדים. </w:t>
      </w:r>
    </w:p>
    <w:p w:rsidR="00014375" w:rsidRDefault="00014375" w:rsidP="00014375">
      <w:pPr>
        <w:pStyle w:val="ad"/>
        <w:rPr>
          <w:rFonts w:ascii="David" w:eastAsia="Times New Roman" w:hAnsi="David" w:cs="David"/>
          <w:b/>
          <w:bCs/>
          <w:color w:val="000000"/>
          <w:sz w:val="24"/>
          <w:szCs w:val="24"/>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b/>
          <w:bCs/>
          <w:color w:val="000000"/>
          <w:sz w:val="24"/>
          <w:szCs w:val="24"/>
          <w:rtl/>
        </w:rPr>
        <w:t xml:space="preserve">טענתה הראשונה </w:t>
      </w:r>
      <w:r>
        <w:rPr>
          <w:rFonts w:ascii="David" w:eastAsia="Times New Roman" w:hAnsi="David" w:cs="David"/>
          <w:color w:val="000000"/>
          <w:sz w:val="24"/>
          <w:szCs w:val="24"/>
          <w:rtl/>
        </w:rPr>
        <w:t xml:space="preserve">של האישה היא, כי בחשבון הבנק הפרטי של האיש היה חיסכון בסך כ-80,000 ₪, אותו המומחה לא לקח בחשבון במסגרת האיזון שביצע. </w:t>
      </w:r>
    </w:p>
    <w:p w:rsidR="00014375" w:rsidRDefault="00014375" w:rsidP="00014375">
      <w:pPr>
        <w:pStyle w:val="ad"/>
        <w:rPr>
          <w:rFonts w:ascii="David" w:eastAsia="Times New Roman" w:hAnsi="David" w:cs="David"/>
          <w:color w:val="000000"/>
          <w:sz w:val="24"/>
          <w:szCs w:val="24"/>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המומחה נשאל בחקירתו לעניין חשבון הבנק הפרטי של האיש, ומשביקש לבחון בשנית חשבון בנק זה והאם כלל אותו במסגרת החישובים, הורה בית המשפט למומחה לבצע בדיקה נוספת של החשבון בבנק הפועלים (ראו: בעמ' 62-63לפרוטוקול הדיון מיום 26.5.21). </w:t>
      </w:r>
    </w:p>
    <w:p w:rsidR="00014375" w:rsidRDefault="00014375" w:rsidP="00014375">
      <w:pPr>
        <w:pStyle w:val="ad"/>
        <w:rPr>
          <w:rFonts w:ascii="David" w:eastAsia="Times New Roman" w:hAnsi="David" w:cs="David"/>
          <w:color w:val="000000"/>
          <w:sz w:val="24"/>
          <w:szCs w:val="24"/>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המומחה ערך בדיקה בהתאם והגיש חוות דעת מעודכנת ביחס למספר עניינים אותם נדרש לבחון לאחר חקירתו. </w:t>
      </w:r>
    </w:p>
    <w:p w:rsidR="00014375" w:rsidRDefault="00014375" w:rsidP="00014375">
      <w:pPr>
        <w:pStyle w:val="ad"/>
        <w:rPr>
          <w:rFonts w:ascii="David" w:eastAsia="Times New Roman" w:hAnsi="David" w:cs="David"/>
          <w:color w:val="000000"/>
          <w:sz w:val="24"/>
          <w:szCs w:val="24"/>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בחוות הדעת המעודכנת פירט המומחה את הכנסותיו והוצאותיו של האיש בשני חשבונות הבנק – הפרטי והעסקי, וקבע כי סה"כ יתרות האיש מסתכמות ב-18,053 ₪ חובה. לפיכך, על האישה להעביר לאיש סך 9,252 ₪ (ראו בעמ' 7 לחוות הדעת מיום 10.6.21). </w:t>
      </w:r>
    </w:p>
    <w:p w:rsidR="00014375" w:rsidRDefault="00014375" w:rsidP="00014375">
      <w:pPr>
        <w:pStyle w:val="ad"/>
        <w:rPr>
          <w:rFonts w:ascii="David" w:eastAsia="Times New Roman" w:hAnsi="David" w:cs="David"/>
          <w:color w:val="000000"/>
          <w:sz w:val="24"/>
          <w:szCs w:val="24"/>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בשאלות ההבהרה שהגישה האישה לעניין חשבונות הבנק של האיש, הבהיר המומחה כי התייחס לסך של 84,140 ₪ שהועבר מהחשבון הפרטי של האיש לחשבונו העסקי. המומחה ציין כי העניין נבדק על ידו, והבהיר כי לאיש היה חוב בכרטיס החו"ז כלפי החברה, וכי לטענת האיש כתוצאה מהשריפה שהתרחשה, נוצרו לחברה חובות לספקים ונותני שירות, ומשום כך הועבר הסכום הנ"ל לחברה, והקטין את יתרות החוב של האיש לחברה. </w:t>
      </w:r>
    </w:p>
    <w:p w:rsidR="00014375" w:rsidRDefault="00014375" w:rsidP="00014375">
      <w:pPr>
        <w:pStyle w:val="ad"/>
        <w:rPr>
          <w:rFonts w:ascii="David" w:eastAsia="Times New Roman" w:hAnsi="David" w:cs="David"/>
          <w:color w:val="000000"/>
          <w:sz w:val="24"/>
          <w:szCs w:val="24"/>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משבדק המומחה את טענות האישה, ומשמצא כי מדובר בסכום שהועבר לחשבון העסקי כנגד חוב של האיש לחברה, ושעה שבמסגרת האיזון נלקח בחשבון גם שוויה של החברה, מצאתי לקבל את הבהרת המומחה. להשלמת התמונה יצוין כי האישה ויתרה ע</w:t>
      </w:r>
      <w:r w:rsidR="002A7BA3">
        <w:rPr>
          <w:rFonts w:ascii="David" w:eastAsia="Times New Roman" w:hAnsi="David" w:cs="David"/>
          <w:color w:val="000000"/>
          <w:sz w:val="24"/>
          <w:szCs w:val="24"/>
          <w:rtl/>
        </w:rPr>
        <w:t xml:space="preserve">ל חקירת רו"ח של החברה – רו"ח </w:t>
      </w:r>
      <w:r w:rsidR="002A7BA3">
        <w:rPr>
          <w:rFonts w:ascii="David" w:eastAsia="Times New Roman" w:hAnsi="David" w:cs="David" w:hint="cs"/>
          <w:color w:val="000000"/>
          <w:sz w:val="24"/>
          <w:szCs w:val="24"/>
          <w:rtl/>
        </w:rPr>
        <w:t xml:space="preserve"> ... </w:t>
      </w:r>
      <w:r>
        <w:rPr>
          <w:rFonts w:ascii="David" w:eastAsia="Times New Roman" w:hAnsi="David" w:cs="David"/>
          <w:color w:val="000000"/>
          <w:sz w:val="24"/>
          <w:szCs w:val="24"/>
          <w:rtl/>
        </w:rPr>
        <w:t xml:space="preserve">, וזאת על אף שרו"ח התייצב לחקירה בהתאם לבקשתה (ראו: פרוטוקול הדיון מיום 26.5.21). </w:t>
      </w:r>
    </w:p>
    <w:p w:rsidR="00014375" w:rsidRDefault="00014375" w:rsidP="00014375">
      <w:pPr>
        <w:pStyle w:val="ad"/>
        <w:rPr>
          <w:rFonts w:ascii="David" w:eastAsia="Times New Roman" w:hAnsi="David" w:cs="David"/>
          <w:color w:val="000000"/>
          <w:sz w:val="24"/>
          <w:szCs w:val="24"/>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b/>
          <w:bCs/>
          <w:color w:val="000000"/>
          <w:sz w:val="24"/>
          <w:szCs w:val="24"/>
          <w:rtl/>
        </w:rPr>
        <w:lastRenderedPageBreak/>
        <w:t xml:space="preserve">טענתה השנייה </w:t>
      </w:r>
      <w:r>
        <w:rPr>
          <w:rFonts w:ascii="David" w:eastAsia="Times New Roman" w:hAnsi="David" w:cs="David"/>
          <w:color w:val="000000"/>
          <w:sz w:val="24"/>
          <w:szCs w:val="24"/>
          <w:rtl/>
        </w:rPr>
        <w:t xml:space="preserve">של האישה היא, כי המומחה לא חישב במסגרת האיזון שערך את החובות הרשומים על שמה. אף טענה זו לא מצאתי לקבל. המומחה הבהיר בחקירתו באופן מפורט כי במסגרת הטבלה שערך הביא בחשבון את כל החובות והזכויות הרשומים על שם האישה, וכי ערך חישוב תוך שהוא מחשב את השתתפות האיש בכלל החובות הרשומים על שם האישה. (ראו: תשובת המומחה המפורטת והבהירה בחקירתו לעניין אופן החישוב, וכן הבהרתו במהלך החקירה כי כלל במסגרת החישוב שערך את כל החובות שנצברו על שם האישה בתקופת החיים המשותפים, בעמ' 63-64 לפרוטוקול הדיון מיום 26.5.21). </w:t>
      </w:r>
    </w:p>
    <w:p w:rsidR="00014375" w:rsidRDefault="00014375" w:rsidP="00014375">
      <w:pPr>
        <w:pStyle w:val="ad"/>
        <w:spacing w:line="360" w:lineRule="auto"/>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עיון בעמ' 8 לחוות הדעת מיום 1.3.20 מעלה, כי המומחה אכן פירט את כלל החובות והזכויות של האישה שנצברו בתקופה הרלוונטית. כמו כן ניתן לראות כי בסיכום הנתונים עלה כי לאישה יתרת חובה בסך 44,023 ₪, ולפיכך המומחה קבע במסגרת חוות הדעת כי על האיש לשאת במחצית מהסכום שנצבר לחובת האישה, בסך 22,011 ₪. </w:t>
      </w:r>
    </w:p>
    <w:p w:rsidR="00014375" w:rsidRDefault="00014375" w:rsidP="00014375">
      <w:pPr>
        <w:pStyle w:val="ad"/>
        <w:shd w:val="clear" w:color="auto" w:fill="FFFFFF"/>
        <w:spacing w:after="0" w:line="360" w:lineRule="auto"/>
        <w:jc w:val="both"/>
        <w:rPr>
          <w:rFonts w:ascii="David" w:eastAsia="Times New Roman" w:hAnsi="David" w:cs="David"/>
          <w:color w:val="000000"/>
          <w:sz w:val="24"/>
          <w:szCs w:val="24"/>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אף בחוות הדעת המעודכנת שהוגשה לאחר חקירתו חזר המומחה ופירט את כלל החובות והזכויות של האישה, וקבע כי על האיש לשאת במחצית מיתרת החובה בסך 22,011 ₪. (ראו: בעמ' 9 לחוות הדעת המעודכנת). כמו כן ניתן לראות כי בסיכום הזכויות והחובות שצברו הצדדים במהלך החיים המשותפים עולה כי סה"כ זכויות האיש הינן 98,657 ₪, לפיכך חלקה של האישה בזכויות האיש עומד ע"ס 49,329 ₪. לעומת זאת בסיכום נתוני האישה עולה כי מצויה ביתרת חובה בסך 44,023 ₪, לפיכך על האיש להשתתף במחצית מהסכום בסך 22,011 ₪, ובסה"כ על האיש להעביר לאישה סך 71,340 ₪ (ראו: בעמ' 20 לחוות הדעת המעודכנת, תחת הכותרת: "ריכוז הממצאים וסיכום").  </w:t>
      </w:r>
    </w:p>
    <w:p w:rsidR="00014375" w:rsidRDefault="00014375" w:rsidP="00014375">
      <w:pPr>
        <w:pStyle w:val="ad"/>
        <w:rPr>
          <w:rFonts w:ascii="David" w:eastAsia="Times New Roman" w:hAnsi="David" w:cs="David"/>
          <w:color w:val="000000"/>
          <w:sz w:val="24"/>
          <w:szCs w:val="24"/>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b/>
          <w:bCs/>
          <w:color w:val="000000"/>
          <w:sz w:val="24"/>
          <w:szCs w:val="24"/>
          <w:rtl/>
        </w:rPr>
      </w:pPr>
      <w:r>
        <w:rPr>
          <w:rFonts w:ascii="David" w:eastAsia="Times New Roman" w:hAnsi="David" w:cs="David"/>
          <w:b/>
          <w:bCs/>
          <w:color w:val="000000"/>
          <w:sz w:val="24"/>
          <w:szCs w:val="24"/>
          <w:rtl/>
        </w:rPr>
        <w:t xml:space="preserve">לפיכך, מצאתי לדחות את טענות האישה, ולקבוע כי יש לאמץ את חוות דעת המומחה לעניין איזון חשבונות הבנק של הצדדים, כמפורט בחוות הדעת המעודכנת. </w:t>
      </w:r>
    </w:p>
    <w:p w:rsidR="00014375" w:rsidRDefault="00014375" w:rsidP="00014375">
      <w:pPr>
        <w:pStyle w:val="ad"/>
        <w:rPr>
          <w:rFonts w:ascii="David" w:eastAsia="Times New Roman" w:hAnsi="David" w:cs="David"/>
          <w:b/>
          <w:bCs/>
          <w:color w:val="000000"/>
          <w:sz w:val="24"/>
          <w:szCs w:val="24"/>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על פי חוות הדעת המעודכנת, לפי החלופה הראשונה, לצורך איזון זכויות הצדדים בסכום חד פעמי (מהוון) על האיש להעביר לאישה סך של 71,340 ₪. האיש נתן הסכמתו לאיזון הזכויות לפי החלופה הראשונה (ראו: סעיף 25(2) לסיכומי האיש). לפיכך, לאיזון זכויות הצדדים בסכום חד פעמי (מהוון) במועד חוות הדעת, על האיש להעביר לאישה סך של </w:t>
      </w:r>
      <w:r>
        <w:rPr>
          <w:rFonts w:ascii="David" w:eastAsia="Times New Roman" w:hAnsi="David" w:cs="David"/>
          <w:b/>
          <w:bCs/>
          <w:color w:val="000000"/>
          <w:sz w:val="24"/>
          <w:szCs w:val="24"/>
          <w:rtl/>
        </w:rPr>
        <w:t>71,340 ₪.</w:t>
      </w:r>
      <w:r>
        <w:rPr>
          <w:rFonts w:ascii="David" w:eastAsia="Times New Roman" w:hAnsi="David" w:cs="David"/>
          <w:color w:val="000000"/>
          <w:sz w:val="24"/>
          <w:szCs w:val="24"/>
          <w:rtl/>
        </w:rPr>
        <w:t xml:space="preserve">  </w:t>
      </w:r>
    </w:p>
    <w:p w:rsidR="00014375" w:rsidRPr="00B64E36" w:rsidRDefault="00014375" w:rsidP="00B64E36">
      <w:pPr>
        <w:shd w:val="clear" w:color="auto" w:fill="FFFFFF"/>
        <w:spacing w:line="360" w:lineRule="auto"/>
        <w:jc w:val="both"/>
        <w:rPr>
          <w:rFonts w:ascii="David" w:hAnsi="David"/>
          <w:color w:val="000000"/>
        </w:rPr>
      </w:pPr>
    </w:p>
    <w:p w:rsidR="00014375" w:rsidRDefault="00014375" w:rsidP="00014375">
      <w:pPr>
        <w:pStyle w:val="ad"/>
        <w:shd w:val="clear" w:color="auto" w:fill="FFFFFF"/>
        <w:spacing w:after="0" w:line="360" w:lineRule="auto"/>
        <w:ind w:left="644"/>
        <w:jc w:val="both"/>
        <w:rPr>
          <w:rFonts w:ascii="David" w:eastAsia="Times New Roman" w:hAnsi="David" w:cs="David"/>
          <w:color w:val="000000"/>
          <w:sz w:val="24"/>
          <w:szCs w:val="24"/>
        </w:rPr>
      </w:pPr>
      <w:r>
        <w:rPr>
          <w:rFonts w:ascii="David" w:eastAsia="Times New Roman" w:hAnsi="David" w:cs="David"/>
          <w:b/>
          <w:bCs/>
          <w:color w:val="000000"/>
          <w:sz w:val="24"/>
          <w:szCs w:val="24"/>
          <w:u w:val="single"/>
          <w:rtl/>
        </w:rPr>
        <w:t>רכבי הצדדים:</w:t>
      </w:r>
      <w:r>
        <w:rPr>
          <w:rFonts w:ascii="David" w:eastAsia="Times New Roman" w:hAnsi="David" w:cs="David"/>
          <w:color w:val="000000"/>
          <w:sz w:val="24"/>
          <w:szCs w:val="24"/>
          <w:rtl/>
        </w:rPr>
        <w:t xml:space="preserve"> </w:t>
      </w:r>
    </w:p>
    <w:p w:rsidR="00014375" w:rsidRDefault="00014375" w:rsidP="00014375">
      <w:pPr>
        <w:pStyle w:val="ad"/>
        <w:rPr>
          <w:rFonts w:ascii="David" w:eastAsia="Times New Roman" w:hAnsi="David" w:cs="David"/>
          <w:color w:val="000000"/>
          <w:sz w:val="24"/>
          <w:szCs w:val="24"/>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לצדדים ארבעה רכבים שנרכשו במהלך החיים המשותפים ורשומים על שם האיש. </w:t>
      </w:r>
      <w:r>
        <w:rPr>
          <w:rFonts w:ascii="David" w:hAnsi="David" w:cs="David"/>
          <w:sz w:val="24"/>
          <w:szCs w:val="24"/>
          <w:rtl/>
        </w:rPr>
        <w:t xml:space="preserve">לטענת האישה, האיש נטל הלוואות ושיעבד את הרכבים לאחר המועד הקובע – 1.3.2018, ולפיכך על </w:t>
      </w:r>
      <w:r>
        <w:rPr>
          <w:rFonts w:ascii="David" w:hAnsi="David" w:cs="David"/>
          <w:sz w:val="24"/>
          <w:szCs w:val="24"/>
          <w:rtl/>
        </w:rPr>
        <w:lastRenderedPageBreak/>
        <w:t>האיש לפרוע הלוואות אלו לבדו. לפיכך לטענתה יש להורות על מכירת הרכבים וחלוקת התמורה בין הצדדים בחלקים שווים, כאשר פירעון ההלוואות יוטל על האיש לבדו.</w:t>
      </w:r>
    </w:p>
    <w:p w:rsidR="00014375" w:rsidRDefault="00014375" w:rsidP="00014375">
      <w:pPr>
        <w:pStyle w:val="ad"/>
        <w:rPr>
          <w:rFonts w:ascii="David" w:eastAsia="Times New Roman" w:hAnsi="David" w:cs="David"/>
          <w:color w:val="000000"/>
          <w:sz w:val="24"/>
          <w:szCs w:val="24"/>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מנגד טוען האיש, כי </w:t>
      </w:r>
      <w:r>
        <w:rPr>
          <w:rFonts w:ascii="David" w:hAnsi="David" w:cs="David"/>
          <w:sz w:val="24"/>
          <w:szCs w:val="24"/>
          <w:rtl/>
        </w:rPr>
        <w:t xml:space="preserve">הגיש אינספור בקשות למכירת הרכבים באופן מידי באמצעות מינוי כונס נכסים חיצוני או כונס מטעם הוצל"פ, ואולם האישה סירבה למכירת הרכבים. לפיכך יש להורות על מכירת כל הרכבים בדרך של כינוס חיצוני וחלוקת התמורה בחלקים שווים בין הצדדים בהתאם לקיזוזים מתאימים בחוות הדעת. </w:t>
      </w:r>
    </w:p>
    <w:p w:rsidR="00014375" w:rsidRDefault="00014375" w:rsidP="00014375">
      <w:pPr>
        <w:pStyle w:val="ad"/>
        <w:rPr>
          <w:rFonts w:ascii="David" w:eastAsia="Times New Roman" w:hAnsi="David" w:cs="David"/>
          <w:color w:val="000000"/>
          <w:sz w:val="24"/>
          <w:szCs w:val="24"/>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מששני הצדדים טוענים כי יש למכור את הרכבים ולחלק תמורתם, אני מוצאת להורות על מכירת הרכבים באופן מידי וחלוקת התמורה באופן שווה בין הצדדים. יובהר כי ככל והאיש נטל הלוואות לצורך רכישת הרכבים במהלך החיים המשותפים, הרי שהמומחה התייחס במסגרת האיזון שערך בחוות דעתו לכלל ההלוואות שנטל האיש והביאן בחשבון במסגרת האיזון. לפיכך, אין להטיל על האישה השתתפות בהלוואות נוספות שנותרו לתשלום, ככל ונותרו, והאיש יישא בתשלום החזרן לבדו. </w:t>
      </w:r>
    </w:p>
    <w:p w:rsidR="00014375" w:rsidRDefault="00014375" w:rsidP="00014375">
      <w:pPr>
        <w:pStyle w:val="ad"/>
        <w:shd w:val="clear" w:color="auto" w:fill="FFFFFF"/>
        <w:spacing w:after="0" w:line="360" w:lineRule="auto"/>
        <w:jc w:val="both"/>
        <w:rPr>
          <w:rFonts w:ascii="David" w:eastAsia="Times New Roman" w:hAnsi="David" w:cs="David"/>
          <w:color w:val="000000"/>
          <w:sz w:val="24"/>
          <w:szCs w:val="24"/>
        </w:rPr>
      </w:pPr>
    </w:p>
    <w:p w:rsidR="00014375" w:rsidRDefault="00014375" w:rsidP="00014375">
      <w:pPr>
        <w:pStyle w:val="ad"/>
        <w:shd w:val="clear" w:color="auto" w:fill="FFFFFF"/>
        <w:spacing w:after="0" w:line="360" w:lineRule="auto"/>
        <w:jc w:val="both"/>
        <w:rPr>
          <w:rFonts w:ascii="David" w:eastAsia="Times New Roman" w:hAnsi="David" w:cs="David"/>
          <w:b/>
          <w:bCs/>
          <w:color w:val="000000"/>
          <w:sz w:val="24"/>
          <w:szCs w:val="24"/>
          <w:u w:val="single"/>
          <w:rtl/>
        </w:rPr>
      </w:pPr>
      <w:r>
        <w:rPr>
          <w:rFonts w:ascii="David" w:eastAsia="Times New Roman" w:hAnsi="David" w:cs="David"/>
          <w:b/>
          <w:bCs/>
          <w:color w:val="000000"/>
          <w:sz w:val="24"/>
          <w:szCs w:val="24"/>
          <w:u w:val="single"/>
          <w:rtl/>
        </w:rPr>
        <w:t>בית המגורים:</w:t>
      </w:r>
    </w:p>
    <w:p w:rsidR="00014375" w:rsidRDefault="00014375" w:rsidP="00014375">
      <w:pPr>
        <w:pStyle w:val="ad"/>
        <w:shd w:val="clear" w:color="auto" w:fill="FFFFFF"/>
        <w:spacing w:after="0" w:line="360" w:lineRule="auto"/>
        <w:jc w:val="both"/>
        <w:rPr>
          <w:rFonts w:ascii="David" w:eastAsia="Times New Roman" w:hAnsi="David" w:cs="David"/>
          <w:b/>
          <w:bCs/>
          <w:color w:val="000000"/>
          <w:sz w:val="24"/>
          <w:szCs w:val="24"/>
          <w:u w:val="single"/>
          <w:rtl/>
        </w:rPr>
      </w:pPr>
    </w:p>
    <w:p w:rsidR="00014375" w:rsidRDefault="00014375" w:rsidP="00014375">
      <w:pPr>
        <w:pStyle w:val="ad"/>
        <w:numPr>
          <w:ilvl w:val="0"/>
          <w:numId w:val="1"/>
        </w:numPr>
        <w:shd w:val="clear" w:color="auto" w:fill="FFFFFF"/>
        <w:spacing w:after="0" w:line="360" w:lineRule="auto"/>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אין חולק בין הצדדים כי הזכויות בבית המגורים רשומות על שם שני הצדדים בחלקים שווים. על בית המגורים רובצת הלוואת משכנתא אותה נטלו הצדדים, והיתרה שנותרה לתשלום עמדה על סך של כ-700,000 ₪. </w:t>
      </w:r>
    </w:p>
    <w:p w:rsidR="00014375" w:rsidRDefault="00014375" w:rsidP="00014375">
      <w:pPr>
        <w:pStyle w:val="ad"/>
        <w:rPr>
          <w:rFonts w:ascii="David" w:hAnsi="David" w:cs="David"/>
          <w:sz w:val="24"/>
          <w:szCs w:val="24"/>
        </w:rPr>
      </w:pPr>
    </w:p>
    <w:p w:rsidR="00014375" w:rsidRDefault="00014375" w:rsidP="00014375">
      <w:pPr>
        <w:pStyle w:val="ad"/>
        <w:shd w:val="clear" w:color="auto" w:fill="FFFFFF"/>
        <w:spacing w:after="0" w:line="360" w:lineRule="auto"/>
        <w:jc w:val="both"/>
        <w:rPr>
          <w:rFonts w:ascii="David" w:eastAsia="Times New Roman" w:hAnsi="David" w:cs="David"/>
          <w:b/>
          <w:bCs/>
          <w:color w:val="000000"/>
          <w:sz w:val="24"/>
          <w:szCs w:val="24"/>
          <w:u w:val="single"/>
          <w:rtl/>
        </w:rPr>
      </w:pPr>
      <w:r>
        <w:rPr>
          <w:rFonts w:ascii="David" w:eastAsia="Times New Roman" w:hAnsi="David" w:cs="David"/>
          <w:b/>
          <w:bCs/>
          <w:color w:val="000000"/>
          <w:sz w:val="24"/>
          <w:szCs w:val="24"/>
          <w:u w:val="single"/>
          <w:rtl/>
        </w:rPr>
        <w:t>חלוקה שאינה שוויונית ע"פ סעיף 8(2) לחוק יחסי ממון</w:t>
      </w:r>
    </w:p>
    <w:p w:rsidR="00014375" w:rsidRDefault="00014375" w:rsidP="00014375">
      <w:pPr>
        <w:pStyle w:val="ad"/>
        <w:shd w:val="clear" w:color="auto" w:fill="FFFFFF"/>
        <w:spacing w:after="0" w:line="360" w:lineRule="auto"/>
        <w:jc w:val="both"/>
        <w:rPr>
          <w:rFonts w:ascii="David" w:eastAsia="Times New Roman" w:hAnsi="David" w:cs="David"/>
          <w:b/>
          <w:bCs/>
          <w:color w:val="000000"/>
          <w:sz w:val="24"/>
          <w:szCs w:val="24"/>
          <w:u w:val="single"/>
          <w:rtl/>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האישה עתרה בכתב התביעה לביצוע איזון משאבים לא שוויוני לטובתה, בהתאם לסעיף 8(2) לחוק יחסי ממון, התשל"ג – 1973. לטענתה, יש לחלק את התשלום שיתקבל ממכירת הבית באופן שאינו שוויוני, כך שהיא תקבל 70% מהתמורה שתתקבל ואילו האיש יקבל 30% מהתמורה בלבד. זאת בשל פערי ההשתכרות בין הצדדים, ניסיונו המקצועי הרב של האיש המעניק לו יתרון בשיקומו הכלכלי, וכן נוכח זמני השהות המצומצמים שבין איש לקטינים.  </w:t>
      </w:r>
    </w:p>
    <w:p w:rsidR="00014375" w:rsidRDefault="00014375" w:rsidP="00014375">
      <w:pPr>
        <w:pStyle w:val="ad"/>
        <w:spacing w:line="360" w:lineRule="auto"/>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סעיף 8</w:t>
      </w:r>
      <w:r>
        <w:rPr>
          <w:rFonts w:ascii="David" w:hAnsi="David" w:cs="David"/>
          <w:color w:val="000000"/>
          <w:sz w:val="24"/>
          <w:szCs w:val="24"/>
          <w:rtl/>
        </w:rPr>
        <w:t xml:space="preserve"> לחוק יחסי ממון מאפשר לבית המשפט שיקול דעת במלאכת האיזון, בעת קיומן של "נסיבות מיוחדות המצדיקות זאת". עם זאת, </w:t>
      </w:r>
      <w:r>
        <w:rPr>
          <w:rFonts w:ascii="David" w:hAnsi="David" w:cs="David"/>
          <w:color w:val="000000"/>
          <w:sz w:val="24"/>
          <w:szCs w:val="24"/>
          <w:shd w:val="clear" w:color="auto" w:fill="FFFFFF"/>
          <w:rtl/>
        </w:rPr>
        <w:t xml:space="preserve">נקבע בפסיקה כי השימוש בסמכות זו יעשה במקרים מיוחדים ובמשורה. לא בכל מקרה בו מתקיים חוסר שוויון בעת עריכת איזון משאבים, יש לפנות לסמכות הנתונה בסעיף 8 לחוק יחסי ממון, ופניה זו תיעשה אך ורק </w:t>
      </w:r>
      <w:r>
        <w:rPr>
          <w:rFonts w:ascii="David" w:hAnsi="David" w:cs="David"/>
          <w:color w:val="000000"/>
          <w:sz w:val="24"/>
          <w:szCs w:val="24"/>
          <w:shd w:val="clear" w:color="auto" w:fill="FFFFFF"/>
          <w:rtl/>
        </w:rPr>
        <w:lastRenderedPageBreak/>
        <w:t>במקרים מיוחדים ויוצאים מן הכלל, אחרת היוצא מן הכלל ייהפך לכלל, והכלל ייהפך ליוצא מן הכלל</w:t>
      </w:r>
      <w:r>
        <w:rPr>
          <w:rFonts w:ascii="David" w:hAnsi="David" w:cs="David"/>
          <w:color w:val="000000"/>
          <w:sz w:val="24"/>
          <w:szCs w:val="24"/>
          <w:shd w:val="clear" w:color="auto" w:fill="FFFFFF"/>
        </w:rPr>
        <w:t>.</w:t>
      </w:r>
      <w:r>
        <w:rPr>
          <w:rFonts w:ascii="David" w:hAnsi="David" w:cs="David"/>
          <w:sz w:val="24"/>
          <w:szCs w:val="24"/>
          <w:rtl/>
        </w:rPr>
        <w:t xml:space="preserve"> (ראו:</w:t>
      </w:r>
      <w:r>
        <w:rPr>
          <w:rFonts w:ascii="David" w:hAnsi="David" w:cs="David"/>
          <w:color w:val="000000"/>
          <w:sz w:val="24"/>
          <w:szCs w:val="24"/>
          <w:shd w:val="clear" w:color="auto" w:fill="FFFFFF"/>
        </w:rPr>
        <w:t> </w:t>
      </w:r>
      <w:r>
        <w:rPr>
          <w:rFonts w:ascii="David" w:hAnsi="David" w:cs="David"/>
          <w:color w:val="000000"/>
          <w:sz w:val="24"/>
          <w:szCs w:val="24"/>
          <w:shd w:val="clear" w:color="auto" w:fill="FFFFFF"/>
          <w:rtl/>
        </w:rPr>
        <w:t xml:space="preserve">בע"מ 638/04 </w:t>
      </w:r>
      <w:r>
        <w:rPr>
          <w:rFonts w:ascii="David" w:hAnsi="David" w:cs="David"/>
          <w:b/>
          <w:bCs/>
          <w:color w:val="000000"/>
          <w:sz w:val="24"/>
          <w:szCs w:val="24"/>
          <w:shd w:val="clear" w:color="auto" w:fill="FFFFFF"/>
          <w:rtl/>
        </w:rPr>
        <w:t>ח.ר. נ' ר.ר</w:t>
      </w:r>
      <w:r>
        <w:rPr>
          <w:rFonts w:ascii="David" w:hAnsi="David" w:cs="David"/>
          <w:b/>
          <w:bCs/>
          <w:color w:val="000000"/>
          <w:sz w:val="24"/>
          <w:szCs w:val="24"/>
          <w:shd w:val="clear" w:color="auto" w:fill="FFFFFF"/>
        </w:rPr>
        <w:t>.</w:t>
      </w:r>
      <w:r>
        <w:rPr>
          <w:rFonts w:ascii="David" w:hAnsi="David" w:cs="David"/>
          <w:color w:val="000000"/>
          <w:sz w:val="24"/>
          <w:szCs w:val="24"/>
          <w:shd w:val="clear" w:color="auto" w:fill="FFFFFF"/>
        </w:rPr>
        <w:t> </w:t>
      </w:r>
      <w:r>
        <w:rPr>
          <w:rFonts w:ascii="David" w:hAnsi="David" w:cs="David"/>
          <w:color w:val="000000"/>
          <w:sz w:val="24"/>
          <w:szCs w:val="24"/>
          <w:shd w:val="clear" w:color="auto" w:fill="FFFFFF"/>
          <w:rtl/>
        </w:rPr>
        <w:t xml:space="preserve">(23.1.05), </w:t>
      </w:r>
      <w:r>
        <w:rPr>
          <w:rFonts w:ascii="David" w:hAnsi="David" w:cs="David"/>
          <w:sz w:val="24"/>
          <w:szCs w:val="24"/>
          <w:rtl/>
        </w:rPr>
        <w:t xml:space="preserve">ע"מ 614/07 </w:t>
      </w:r>
      <w:r>
        <w:rPr>
          <w:rFonts w:ascii="David" w:hAnsi="David" w:cs="David"/>
          <w:b/>
          <w:bCs/>
          <w:sz w:val="24"/>
          <w:szCs w:val="24"/>
          <w:rtl/>
        </w:rPr>
        <w:t>פלונית נ' פלוני</w:t>
      </w:r>
      <w:r>
        <w:rPr>
          <w:rFonts w:ascii="David" w:hAnsi="David" w:cs="David"/>
          <w:sz w:val="24"/>
          <w:szCs w:val="24"/>
          <w:rtl/>
        </w:rPr>
        <w:t xml:space="preserve"> (16.4.2008). </w:t>
      </w:r>
    </w:p>
    <w:p w:rsidR="00014375" w:rsidRDefault="00014375" w:rsidP="00014375">
      <w:pPr>
        <w:pStyle w:val="ad"/>
        <w:spacing w:line="360" w:lineRule="auto"/>
        <w:jc w:val="both"/>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בענייננו, קיימים </w:t>
      </w:r>
      <w:r>
        <w:rPr>
          <w:rFonts w:ascii="David" w:hAnsi="David" w:cs="David"/>
          <w:color w:val="000000"/>
          <w:sz w:val="24"/>
          <w:szCs w:val="24"/>
          <w:rtl/>
        </w:rPr>
        <w:t xml:space="preserve">לכאורה פערים בהכנסות הצדדים, שכן האיש עובד כעצמאי וכושר השתכרותו, לפי הערכת המומחה, עומד ע"ס 25,000 ₪ לחודש ברוטו (ולפי קביעת בית המשפט – 18,000 ₪ נטו לחודש, כפי שיפורט בהמשך). מנגד, האישה אף היא בעלת עסקים, וכפי שיפורט בחלק הדן במזונות הקטינים, לאישה השתכרות או לחילופין פוטנציאל השתכרות בסך 8,000 ₪ נטו לחודש.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hd w:val="clear" w:color="auto" w:fill="FFFFFF"/>
        <w:spacing w:after="400" w:line="330" w:lineRule="atLeast"/>
        <w:jc w:val="both"/>
        <w:rPr>
          <w:rFonts w:ascii="David" w:hAnsi="David" w:cs="David"/>
          <w:color w:val="000000"/>
          <w:sz w:val="24"/>
          <w:szCs w:val="24"/>
          <w:rtl/>
        </w:rPr>
      </w:pPr>
      <w:r>
        <w:rPr>
          <w:rFonts w:ascii="David" w:hAnsi="David" w:cs="David"/>
          <w:color w:val="000000"/>
          <w:sz w:val="24"/>
          <w:szCs w:val="24"/>
          <w:rtl/>
        </w:rPr>
        <w:t>לא  ניתן לקבל את הטענה שבכל מקרה בו אחד מבני הזוג הוא המפרנס העיקרי תבוצע חלוקה לא שוויונית של הרכוש. קבלת טענה שכזו הייתה הופכת במקרים רבים את אופן החלוקה לפי סעיף 5(א) לחוק יחסי ממון לאות מתה, בעוד שהוראות סעיף 8(2) לחוק היו נוהגות על דרך הכלל. כאמור לא לכך כיוון המחוקק שעה שאפשר שימוש בהוראות סעיף 8(2) לחוק כחריג לכלל.</w:t>
      </w:r>
      <w:r>
        <w:rPr>
          <w:rFonts w:ascii="David" w:hAnsi="David" w:cs="David"/>
          <w:color w:val="000000"/>
          <w:sz w:val="24"/>
          <w:szCs w:val="24"/>
        </w:rPr>
        <w:t xml:space="preserve"> </w:t>
      </w:r>
      <w:r>
        <w:rPr>
          <w:rFonts w:ascii="David" w:hAnsi="David" w:cs="David"/>
          <w:sz w:val="24"/>
          <w:szCs w:val="24"/>
          <w:rtl/>
        </w:rPr>
        <w:t xml:space="preserve">נטל ההוכחה מוטל על המבקש לסטות מחלוקה שוויונית והוא נטל כבד (ראו: בג"צ 6037/18 </w:t>
      </w:r>
      <w:r>
        <w:rPr>
          <w:rFonts w:ascii="David" w:hAnsi="David" w:cs="David"/>
          <w:b/>
          <w:bCs/>
          <w:sz w:val="24"/>
          <w:szCs w:val="24"/>
          <w:rtl/>
        </w:rPr>
        <w:t>פלונית נ' ביה"ד הרבני האזורי ת"א</w:t>
      </w:r>
      <w:r>
        <w:rPr>
          <w:rFonts w:ascii="David" w:hAnsi="David" w:cs="David"/>
          <w:sz w:val="24"/>
          <w:szCs w:val="24"/>
          <w:rtl/>
        </w:rPr>
        <w:t xml:space="preserve"> (18.2.2019), </w:t>
      </w:r>
      <w:r>
        <w:rPr>
          <w:rFonts w:ascii="David" w:hAnsi="David" w:cs="David"/>
          <w:color w:val="000000"/>
          <w:sz w:val="24"/>
          <w:szCs w:val="24"/>
          <w:rtl/>
        </w:rPr>
        <w:t xml:space="preserve">בע"מ 4699/08 </w:t>
      </w:r>
      <w:r>
        <w:rPr>
          <w:rFonts w:ascii="David" w:hAnsi="David" w:cs="David"/>
          <w:b/>
          <w:bCs/>
          <w:color w:val="000000"/>
          <w:sz w:val="24"/>
          <w:szCs w:val="24"/>
          <w:rtl/>
        </w:rPr>
        <w:t>פלונית נ' פלוני</w:t>
      </w:r>
      <w:r>
        <w:rPr>
          <w:rFonts w:ascii="David" w:hAnsi="David" w:cs="David"/>
          <w:color w:val="000000"/>
          <w:sz w:val="24"/>
          <w:szCs w:val="24"/>
          <w:rtl/>
        </w:rPr>
        <w:t xml:space="preserve"> (08.07.2008)).</w:t>
      </w:r>
    </w:p>
    <w:p w:rsidR="00014375" w:rsidRDefault="00014375" w:rsidP="00014375">
      <w:pPr>
        <w:pStyle w:val="ad"/>
        <w:rPr>
          <w:rFonts w:ascii="David" w:hAnsi="David" w:cs="David"/>
          <w:color w:val="000000"/>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color w:val="000000"/>
          <w:sz w:val="24"/>
          <w:szCs w:val="24"/>
          <w:rtl/>
        </w:rPr>
        <w:t>לפיכך, מש</w:t>
      </w:r>
      <w:r>
        <w:rPr>
          <w:rFonts w:ascii="David" w:hAnsi="David" w:cs="David"/>
          <w:sz w:val="24"/>
          <w:szCs w:val="24"/>
          <w:rtl/>
        </w:rPr>
        <w:t>מצאתי כי לאישה פוטנציאל השתכרות (גם אם עדיין ישנו פער בהשתכרות הצדדים), ושעה שהנכס העיקרי של הצדדים הינו בית המגורים,</w:t>
      </w:r>
      <w:r>
        <w:rPr>
          <w:rFonts w:ascii="David" w:hAnsi="David" w:cs="David"/>
          <w:color w:val="000000"/>
          <w:sz w:val="24"/>
          <w:szCs w:val="24"/>
          <w:rtl/>
        </w:rPr>
        <w:t xml:space="preserve"> </w:t>
      </w:r>
      <w:r>
        <w:rPr>
          <w:rFonts w:ascii="David" w:hAnsi="David" w:cs="David"/>
          <w:sz w:val="24"/>
          <w:szCs w:val="24"/>
          <w:rtl/>
        </w:rPr>
        <w:t xml:space="preserve">לא מצאתי </w:t>
      </w:r>
      <w:r>
        <w:rPr>
          <w:rFonts w:ascii="David" w:hAnsi="David" w:cs="David"/>
          <w:color w:val="000000"/>
          <w:sz w:val="24"/>
          <w:szCs w:val="24"/>
          <w:rtl/>
        </w:rPr>
        <w:t>כי יש להפעיל במקרה זה את סעיף 8(2) לחוק יחסי ממון ולחלק את הכספים שיתקבלו ממכירת בית המגורים באופן שאינו שוויוני.</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כמו כן, לא מצאתי כי יש מקום במקרה זה לעכב את פירוק השיתוף. </w:t>
      </w:r>
      <w:r>
        <w:rPr>
          <w:rFonts w:ascii="David" w:hAnsi="David" w:cs="David"/>
          <w:b/>
          <w:bCs/>
          <w:sz w:val="24"/>
          <w:szCs w:val="24"/>
          <w:rtl/>
        </w:rPr>
        <w:t>ראשית,</w:t>
      </w:r>
      <w:r>
        <w:rPr>
          <w:rFonts w:ascii="David" w:hAnsi="David" w:cs="David"/>
          <w:sz w:val="24"/>
          <w:szCs w:val="24"/>
          <w:rtl/>
        </w:rPr>
        <w:t xml:space="preserve"> מדובר בסעד שלא נתבקש על ידי האישה במסגרת כתב התביעה שהגישה (וראו סעיף 55 ה' לכתב התביעה בתיק 22247-02-18). </w:t>
      </w:r>
      <w:r>
        <w:rPr>
          <w:rFonts w:ascii="David" w:hAnsi="David" w:cs="David"/>
          <w:b/>
          <w:bCs/>
          <w:sz w:val="24"/>
          <w:szCs w:val="24"/>
          <w:rtl/>
        </w:rPr>
        <w:t>שנית,</w:t>
      </w:r>
      <w:r>
        <w:rPr>
          <w:rFonts w:ascii="David" w:hAnsi="David" w:cs="David"/>
          <w:sz w:val="24"/>
          <w:szCs w:val="24"/>
          <w:rtl/>
        </w:rPr>
        <w:t xml:space="preserve"> עיכוב פירוק השיתוף נתבקש כדי לאפשר לאישה לרכוש את חלקו של האיש, בהסתמך על כך שתקבל חלק גדול יותר מתמורת המכירה לפי סעיף 8(2) לחוק יחסי ממון. משקבעתי כי יש לחלק את תמורת המכירה באופן שווה, ומשנתקבלה חוות דעת המומחה לפיה הסכומים שיתקבלו באיזון הזכויות הכספיות והסוציאליות לא יאפשרו לאישה לרכוש את חלקו של האיש (ראו: סעיף 14(ג) לסיכומי האישה), הרי שאין מקום לעכב את פירוק השיתוף בבית הצדדים. כמו כן, האישה לא הוכיחה כי לא ניתן להבטיח לקטינים מקום מגורים הולם.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לפי סעיף 37 לחוק המקרקעין, התשכ"א -1969, כל אחד מהצדדים זכאי לדרוש את פירוק השיתוף בבית המגורים בכל עת. עם זאת, זכות זו כפופה להוראות סעיף 40א' לחוק המקרקעין, ולהוראות סעיף 6א' לחוק יחסי ממון, המסייגות את הזכות לפירוק שיתוף, עד </w:t>
      </w:r>
      <w:r>
        <w:rPr>
          <w:rFonts w:ascii="David" w:hAnsi="David" w:cs="David"/>
          <w:sz w:val="24"/>
          <w:szCs w:val="24"/>
          <w:rtl/>
        </w:rPr>
        <w:lastRenderedPageBreak/>
        <w:t>שיובטח כי לבן הזוג והילדים המתגוררים עמו מקום מגורים הולם</w:t>
      </w:r>
      <w:r>
        <w:rPr>
          <w:rFonts w:ascii="David" w:hAnsi="David" w:cs="David"/>
          <w:sz w:val="24"/>
          <w:szCs w:val="24"/>
        </w:rPr>
        <w:t>.</w:t>
      </w:r>
      <w:r>
        <w:rPr>
          <w:rFonts w:ascii="David" w:hAnsi="David" w:cs="David"/>
          <w:sz w:val="24"/>
          <w:szCs w:val="24"/>
          <w:rtl/>
        </w:rPr>
        <w:t xml:space="preserve"> </w:t>
      </w:r>
      <w:r>
        <w:rPr>
          <w:rFonts w:ascii="David" w:hAnsi="David" w:cs="David" w:hint="cs"/>
          <w:sz w:val="24"/>
          <w:szCs w:val="24"/>
          <w:rtl/>
        </w:rPr>
        <w:t xml:space="preserve">עיכוב פירוק השיתוף בדירת המגורים יעשה במקרי הכרח, במשורה ובאיזון המתבקש בין זכותו הקניינית של בן הזוג, אל מול זכות הקטינים למדור ראוי. (ראו: </w:t>
      </w:r>
      <w:r>
        <w:rPr>
          <w:rFonts w:ascii="David" w:hAnsi="David" w:cs="David" w:hint="cs"/>
          <w:color w:val="000000"/>
          <w:sz w:val="24"/>
          <w:szCs w:val="24"/>
          <w:rtl/>
        </w:rPr>
        <w:t xml:space="preserve">תלה"מ 5534-05-17 </w:t>
      </w:r>
      <w:r>
        <w:rPr>
          <w:rFonts w:ascii="David" w:hAnsi="David" w:cs="David" w:hint="cs"/>
          <w:b/>
          <w:bCs/>
          <w:color w:val="000000"/>
          <w:sz w:val="24"/>
          <w:szCs w:val="24"/>
          <w:rtl/>
        </w:rPr>
        <w:t>י.ש נ' ע.ש</w:t>
      </w:r>
      <w:r>
        <w:rPr>
          <w:rFonts w:ascii="David" w:hAnsi="David" w:cs="David" w:hint="cs"/>
          <w:color w:val="000000"/>
          <w:sz w:val="24"/>
          <w:szCs w:val="24"/>
          <w:rtl/>
        </w:rPr>
        <w:t xml:space="preserve"> (26.11.2020)).</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בענייננו, שווי בית הצדדים לפי הערכת שמאי נכון לשנת 2019 הינו 2,730,000 ₪. יתרת המשכנתא הינה בסך כ-700,000 ₪. לפיכך, לאחר תשלום יתרת המשכנתא והוצאות המכירה, לכל צד יישאר סכום של כמיליון ₪ (ראו: סעיף 13(ה) לסיכומי האישה), כאשר לא מן הנמנע כי שווי הבית אף עלה מאז מתן חוות הדעת השמאית, וכי בידי כל אחד מהצדדים ייוותר סכום גבוה אף יותר. מדובר בסכום שהינו מספיק כדי לאפשר לאישה לשכור דירה לה ולקטינים. אין ברצון</w:t>
      </w:r>
      <w:r w:rsidR="008C7AFA">
        <w:rPr>
          <w:rFonts w:ascii="David" w:hAnsi="David" w:cs="David"/>
          <w:sz w:val="24"/>
          <w:szCs w:val="24"/>
          <w:rtl/>
        </w:rPr>
        <w:t xml:space="preserve"> האישה לרכוש את חלקו של האיש </w:t>
      </w:r>
      <w:r w:rsidR="008C7AFA">
        <w:rPr>
          <w:rFonts w:ascii="David" w:hAnsi="David" w:cs="David" w:hint="cs"/>
          <w:sz w:val="24"/>
          <w:szCs w:val="24"/>
          <w:rtl/>
        </w:rPr>
        <w:t>כשל</w:t>
      </w:r>
      <w:r>
        <w:rPr>
          <w:rFonts w:ascii="David" w:hAnsi="David" w:cs="David"/>
          <w:sz w:val="24"/>
          <w:szCs w:val="24"/>
          <w:rtl/>
        </w:rPr>
        <w:t xml:space="preserve">עצמו כדי לאפשר פגיעה בזכותו הקניינית של האיש לקבל את חלקו בבית המגורים ולשקם את חייו. יתרה מכך, מדובר בבית מגורים צמוד קרקע, קוטג' דו משפחתי בן 2 קומות, כאשר בחצר האחורית קיימת בריכת שחיה (ראו: בעמ' 4 לחוות דעת השמאי מיום 3.11.2019). אין הכרח כי האישה והקטינים ימשיכו להתגורר בבית רחב ידיים זה. בנוסף, וכפי שיפורט בהמשך בחלק העוסק במזונות הקטינים, החל ממועד יציאת האישה מבית הצדדים האיש יישא בתשלום תוספת עבור מדור הקטינים.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משכנתא</w:t>
      </w:r>
      <w:r>
        <w:rPr>
          <w:rFonts w:ascii="David" w:hAnsi="David" w:cs="David"/>
          <w:sz w:val="24"/>
          <w:szCs w:val="24"/>
          <w:rtl/>
        </w:rPr>
        <w:t xml:space="preserve">: כפי שאף נקבע בהחלטה מיום 21.6.18, תשלום המשכנתא הינו תשלום הוני,  ולפיכך ובהעדר מחלוקת כי נכס המקרקעין שייך לצדדים בחלקים שווים הרי שהסכום ששולם על ידי האיש עבור חלקה של האישה בחוב המשכנתא, יושב אליו בעת איזון המשאבים. </w:t>
      </w:r>
    </w:p>
    <w:p w:rsidR="00014375" w:rsidRDefault="00014375" w:rsidP="00014375">
      <w:pPr>
        <w:pStyle w:val="ad"/>
        <w:spacing w:line="360" w:lineRule="auto"/>
        <w:jc w:val="both"/>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Pr>
      </w:pPr>
      <w:r>
        <w:rPr>
          <w:rFonts w:ascii="David" w:hAnsi="David" w:cs="David"/>
          <w:b/>
          <w:bCs/>
          <w:sz w:val="24"/>
          <w:szCs w:val="24"/>
          <w:rtl/>
        </w:rPr>
        <w:t>תשלום שכר טרחת המומחים:</w:t>
      </w:r>
      <w:r>
        <w:rPr>
          <w:rFonts w:ascii="David" w:hAnsi="David" w:cs="David"/>
          <w:sz w:val="24"/>
          <w:szCs w:val="24"/>
          <w:rtl/>
        </w:rPr>
        <w:t xml:space="preserve"> כמו כן, מתוך חלקה של האישה בתשלום שיתקבל ממכירת בית הצדדים, האישה תשלם לאיש את חלקה בתשלום שכר טרחת המומחים, בהתאם להחלטות מיום 8.5.19 מיום 20.6.19 ומיום 24.2.20, כפוף להמצאת קבלות על ידי האיש בגין התשלום. </w:t>
      </w:r>
    </w:p>
    <w:p w:rsidR="0018262B" w:rsidRPr="0018262B" w:rsidRDefault="0018262B" w:rsidP="0018262B">
      <w:pPr>
        <w:spacing w:line="360" w:lineRule="auto"/>
        <w:jc w:val="both"/>
        <w:rPr>
          <w:rFonts w:ascii="David" w:hAnsi="David"/>
        </w:rPr>
      </w:pPr>
    </w:p>
    <w:p w:rsidR="00014375" w:rsidRDefault="00014375" w:rsidP="00014375">
      <w:pPr>
        <w:pStyle w:val="ad"/>
        <w:spacing w:line="360" w:lineRule="auto"/>
        <w:jc w:val="both"/>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Pr>
      </w:pPr>
      <w:r>
        <w:rPr>
          <w:rFonts w:ascii="David" w:hAnsi="David" w:cs="David"/>
          <w:b/>
          <w:bCs/>
          <w:sz w:val="24"/>
          <w:szCs w:val="24"/>
          <w:u w:val="single"/>
          <w:rtl/>
        </w:rPr>
        <w:t>סיכום החלק הרכושי:</w:t>
      </w:r>
    </w:p>
    <w:p w:rsidR="00014375" w:rsidRDefault="00014375" w:rsidP="00014375">
      <w:pPr>
        <w:pStyle w:val="ad"/>
        <w:rPr>
          <w:rFonts w:ascii="David" w:hAnsi="David" w:cs="David"/>
          <w:sz w:val="24"/>
          <w:szCs w:val="24"/>
        </w:rPr>
      </w:pPr>
    </w:p>
    <w:p w:rsidR="00014375" w:rsidRDefault="00014375" w:rsidP="00014375">
      <w:pPr>
        <w:pStyle w:val="ad"/>
        <w:numPr>
          <w:ilvl w:val="2"/>
          <w:numId w:val="1"/>
        </w:numPr>
        <w:spacing w:line="360" w:lineRule="auto"/>
        <w:ind w:left="1360" w:hanging="425"/>
        <w:jc w:val="both"/>
        <w:rPr>
          <w:rFonts w:ascii="David" w:hAnsi="David" w:cs="David"/>
          <w:b/>
          <w:bCs/>
          <w:sz w:val="24"/>
          <w:szCs w:val="24"/>
          <w:u w:val="single"/>
          <w:rtl/>
        </w:rPr>
      </w:pPr>
      <w:r>
        <w:rPr>
          <w:rFonts w:ascii="David" w:eastAsia="Times New Roman" w:hAnsi="David" w:cs="David"/>
          <w:color w:val="000000"/>
          <w:sz w:val="24"/>
          <w:szCs w:val="24"/>
          <w:rtl/>
        </w:rPr>
        <w:t>שווי עסקי הצדדים, הזכויות הסוציאליות וכספיות, חשבונות הבנק וחובות הצדדים שנצברו בתקופת החיים המשותפים ועד למועד הקרע יאוזנו בהתאם לאמור בחוות דעת</w:t>
      </w:r>
      <w:r>
        <w:rPr>
          <w:rFonts w:ascii="David" w:hAnsi="David" w:cs="David"/>
          <w:sz w:val="24"/>
          <w:szCs w:val="24"/>
          <w:rtl/>
        </w:rPr>
        <w:t xml:space="preserve"> המומחה המעודכנת מיום 8.6.21 (שהוגשה לתיק בית המשפט ביום 10.6.21)</w:t>
      </w:r>
      <w:r>
        <w:rPr>
          <w:rFonts w:ascii="David" w:hAnsi="David" w:cs="David"/>
          <w:b/>
          <w:bCs/>
          <w:sz w:val="24"/>
          <w:szCs w:val="24"/>
          <w:rtl/>
        </w:rPr>
        <w:t>.</w:t>
      </w:r>
      <w:r>
        <w:rPr>
          <w:rFonts w:ascii="David" w:hAnsi="David" w:cs="David"/>
          <w:b/>
          <w:bCs/>
          <w:sz w:val="24"/>
          <w:szCs w:val="24"/>
          <w:u w:val="single"/>
          <w:rtl/>
        </w:rPr>
        <w:t xml:space="preserve"> </w:t>
      </w:r>
    </w:p>
    <w:p w:rsidR="00014375" w:rsidRDefault="00014375" w:rsidP="00014375">
      <w:pPr>
        <w:pStyle w:val="ad"/>
        <w:spacing w:line="360" w:lineRule="auto"/>
        <w:ind w:left="1360" w:hanging="425"/>
        <w:jc w:val="both"/>
        <w:rPr>
          <w:rFonts w:ascii="David" w:hAnsi="David" w:cs="David"/>
          <w:b/>
          <w:bCs/>
          <w:sz w:val="24"/>
          <w:szCs w:val="24"/>
          <w:u w:val="single"/>
        </w:rPr>
      </w:pPr>
    </w:p>
    <w:p w:rsidR="00014375" w:rsidRDefault="00014375" w:rsidP="00B64E36">
      <w:pPr>
        <w:pStyle w:val="ad"/>
        <w:numPr>
          <w:ilvl w:val="2"/>
          <w:numId w:val="1"/>
        </w:numPr>
        <w:spacing w:line="360" w:lineRule="auto"/>
        <w:ind w:left="1360" w:hanging="425"/>
        <w:jc w:val="both"/>
        <w:rPr>
          <w:rFonts w:ascii="David" w:hAnsi="David" w:cs="David"/>
          <w:b/>
          <w:bCs/>
          <w:sz w:val="24"/>
          <w:szCs w:val="24"/>
          <w:u w:val="single"/>
          <w:rtl/>
        </w:rPr>
      </w:pPr>
      <w:r>
        <w:rPr>
          <w:rFonts w:ascii="David" w:eastAsia="Times New Roman" w:hAnsi="David" w:cs="David"/>
          <w:b/>
          <w:bCs/>
          <w:color w:val="000000"/>
          <w:sz w:val="24"/>
          <w:szCs w:val="24"/>
          <w:rtl/>
        </w:rPr>
        <w:lastRenderedPageBreak/>
        <w:t>בית הצדדים</w:t>
      </w:r>
      <w:r>
        <w:rPr>
          <w:rFonts w:ascii="David" w:eastAsia="Times New Roman" w:hAnsi="David" w:cs="David"/>
          <w:color w:val="000000"/>
          <w:sz w:val="24"/>
          <w:szCs w:val="24"/>
          <w:rtl/>
        </w:rPr>
        <w:t xml:space="preserve">: אני </w:t>
      </w:r>
      <w:r>
        <w:rPr>
          <w:rFonts w:ascii="David" w:hAnsi="David" w:cs="David"/>
          <w:color w:val="000000"/>
          <w:sz w:val="24"/>
          <w:szCs w:val="24"/>
          <w:rtl/>
        </w:rPr>
        <w:t xml:space="preserve">מורה על פירוק השיתוף בבית </w:t>
      </w:r>
      <w:r w:rsidR="00B64E36">
        <w:rPr>
          <w:rFonts w:ascii="David" w:hAnsi="David" w:cs="David" w:hint="cs"/>
          <w:color w:val="000000"/>
          <w:sz w:val="24"/>
          <w:szCs w:val="24"/>
          <w:rtl/>
        </w:rPr>
        <w:t xml:space="preserve">... </w:t>
      </w:r>
      <w:r>
        <w:rPr>
          <w:rFonts w:ascii="David" w:hAnsi="David" w:cs="David"/>
          <w:color w:val="000000"/>
          <w:sz w:val="24"/>
          <w:szCs w:val="24"/>
          <w:rtl/>
        </w:rPr>
        <w:t>, הידוע כגוש</w:t>
      </w:r>
      <w:r>
        <w:rPr>
          <w:rFonts w:ascii="David" w:hAnsi="David" w:cs="David"/>
          <w:color w:val="000000"/>
          <w:sz w:val="24"/>
          <w:szCs w:val="24"/>
        </w:rPr>
        <w:t xml:space="preserve"> </w:t>
      </w:r>
      <w:r w:rsidR="00B64E36">
        <w:rPr>
          <w:rFonts w:ascii="David" w:hAnsi="David" w:cs="David" w:hint="cs"/>
          <w:color w:val="000000"/>
          <w:sz w:val="24"/>
          <w:szCs w:val="24"/>
          <w:rtl/>
        </w:rPr>
        <w:t>...</w:t>
      </w:r>
      <w:r>
        <w:rPr>
          <w:rFonts w:ascii="David" w:hAnsi="David" w:cs="David"/>
          <w:color w:val="000000"/>
          <w:sz w:val="24"/>
          <w:szCs w:val="24"/>
          <w:rtl/>
        </w:rPr>
        <w:t>,</w:t>
      </w:r>
      <w:r>
        <w:rPr>
          <w:rFonts w:ascii="David" w:hAnsi="David" w:cs="David"/>
          <w:color w:val="000000"/>
          <w:sz w:val="24"/>
          <w:szCs w:val="24"/>
        </w:rPr>
        <w:t xml:space="preserve"> </w:t>
      </w:r>
      <w:r>
        <w:rPr>
          <w:rFonts w:ascii="David" w:hAnsi="David" w:cs="David"/>
          <w:color w:val="000000"/>
          <w:sz w:val="24"/>
          <w:szCs w:val="24"/>
          <w:rtl/>
        </w:rPr>
        <w:t>חלקה</w:t>
      </w:r>
      <w:r>
        <w:rPr>
          <w:rFonts w:ascii="David" w:hAnsi="David" w:cs="David"/>
          <w:color w:val="000000"/>
          <w:sz w:val="24"/>
          <w:szCs w:val="24"/>
        </w:rPr>
        <w:t xml:space="preserve"> </w:t>
      </w:r>
      <w:r w:rsidR="00B64E36">
        <w:rPr>
          <w:rFonts w:ascii="David" w:hAnsi="David" w:cs="David" w:hint="cs"/>
          <w:color w:val="000000"/>
          <w:sz w:val="24"/>
          <w:szCs w:val="24"/>
          <w:rtl/>
        </w:rPr>
        <w:t>..</w:t>
      </w:r>
      <w:r>
        <w:rPr>
          <w:rFonts w:ascii="David" w:hAnsi="David" w:cs="David"/>
          <w:color w:val="000000"/>
          <w:sz w:val="24"/>
          <w:szCs w:val="24"/>
          <w:rtl/>
        </w:rPr>
        <w:t xml:space="preserve">, תת חלקה </w:t>
      </w:r>
      <w:r w:rsidR="00B64E36">
        <w:rPr>
          <w:rFonts w:ascii="David" w:hAnsi="David" w:cs="David" w:hint="cs"/>
          <w:color w:val="000000"/>
          <w:sz w:val="24"/>
          <w:szCs w:val="24"/>
          <w:rtl/>
        </w:rPr>
        <w:t>...</w:t>
      </w:r>
      <w:r>
        <w:rPr>
          <w:rFonts w:ascii="David" w:hAnsi="David" w:cs="David"/>
          <w:color w:val="000000"/>
          <w:sz w:val="24"/>
          <w:szCs w:val="24"/>
          <w:rtl/>
        </w:rPr>
        <w:t xml:space="preserve">, </w:t>
      </w:r>
      <w:r>
        <w:rPr>
          <w:rFonts w:ascii="David" w:hAnsi="David" w:cs="David"/>
          <w:color w:val="000000"/>
          <w:sz w:val="24"/>
          <w:szCs w:val="24"/>
        </w:rPr>
        <w:t> </w:t>
      </w:r>
      <w:r>
        <w:rPr>
          <w:rFonts w:ascii="David" w:hAnsi="David" w:cs="David"/>
          <w:color w:val="000000"/>
          <w:sz w:val="24"/>
          <w:szCs w:val="24"/>
          <w:rtl/>
        </w:rPr>
        <w:t xml:space="preserve">בדרך של מכירה. הבית יימכר כפנוי, למרבה במחיר, במכירה שבין מוכר מרצון לקונה מרצון. לצדדים תהיה זכות קדימה כחוק לרכוש איש את זכויותיו של רעהו בדירה. </w:t>
      </w:r>
    </w:p>
    <w:p w:rsidR="00014375" w:rsidRDefault="00014375" w:rsidP="00014375">
      <w:pPr>
        <w:pStyle w:val="ad"/>
        <w:spacing w:line="360" w:lineRule="auto"/>
        <w:ind w:left="1360" w:hanging="425"/>
        <w:jc w:val="both"/>
        <w:rPr>
          <w:rFonts w:ascii="David" w:hAnsi="David" w:cs="David"/>
          <w:b/>
          <w:bCs/>
          <w:sz w:val="24"/>
          <w:szCs w:val="24"/>
          <w:u w:val="single"/>
        </w:rPr>
      </w:pPr>
    </w:p>
    <w:p w:rsidR="00014375" w:rsidRDefault="00014375" w:rsidP="00014375">
      <w:pPr>
        <w:pStyle w:val="ad"/>
        <w:spacing w:line="360" w:lineRule="auto"/>
        <w:ind w:left="1360"/>
        <w:jc w:val="both"/>
        <w:rPr>
          <w:rFonts w:ascii="David" w:hAnsi="David" w:cs="David"/>
          <w:b/>
          <w:bCs/>
          <w:sz w:val="24"/>
          <w:szCs w:val="24"/>
          <w:u w:val="single"/>
        </w:rPr>
      </w:pPr>
      <w:r w:rsidRPr="004A678B">
        <w:rPr>
          <w:rFonts w:ascii="David" w:hAnsi="David" w:cs="David"/>
          <w:sz w:val="24"/>
          <w:szCs w:val="24"/>
          <w:rtl/>
        </w:rPr>
        <w:t>ניתנת לצדדים שהות של 30 יום לנסות ולמכור את הבית בהסכמה. ככל שלא יגיעו להסכמה, ימונו באי כוח הצדדים ככונסי נכסים לצורך ביצוע המכירה וחלוקת התמורה כקבוע בפסק דין זה.</w:t>
      </w:r>
      <w:r>
        <w:rPr>
          <w:rFonts w:ascii="David" w:hAnsi="David" w:cs="David"/>
          <w:sz w:val="24"/>
          <w:szCs w:val="24"/>
          <w:rtl/>
        </w:rPr>
        <w:t xml:space="preserve"> </w:t>
      </w:r>
    </w:p>
    <w:p w:rsidR="00014375" w:rsidRDefault="00014375" w:rsidP="00014375">
      <w:pPr>
        <w:pStyle w:val="ad"/>
        <w:spacing w:line="360" w:lineRule="auto"/>
        <w:ind w:left="1360" w:hanging="425"/>
        <w:jc w:val="both"/>
        <w:rPr>
          <w:rFonts w:ascii="David" w:hAnsi="David" w:cs="David"/>
          <w:b/>
          <w:bCs/>
          <w:sz w:val="24"/>
          <w:szCs w:val="24"/>
          <w:u w:val="single"/>
          <w:rtl/>
        </w:rPr>
      </w:pPr>
    </w:p>
    <w:p w:rsidR="00014375" w:rsidRDefault="00014375" w:rsidP="00014375">
      <w:pPr>
        <w:pStyle w:val="ad"/>
        <w:spacing w:line="360" w:lineRule="auto"/>
        <w:ind w:left="1360"/>
        <w:jc w:val="both"/>
        <w:rPr>
          <w:rFonts w:ascii="David" w:hAnsi="David" w:cs="David"/>
          <w:b/>
          <w:bCs/>
          <w:sz w:val="24"/>
          <w:szCs w:val="24"/>
          <w:u w:val="single"/>
        </w:rPr>
      </w:pPr>
      <w:r>
        <w:rPr>
          <w:rFonts w:ascii="David" w:hAnsi="David" w:cs="David"/>
          <w:sz w:val="24"/>
          <w:szCs w:val="24"/>
          <w:rtl/>
        </w:rPr>
        <w:t xml:space="preserve">הליך כינוס הנכסים, ככל שיכנס לתוקף, יבוצע בלשכת ההוצאה לפועל, תחת הוראות כב' רשם ההוצאה לפועל, אשר יהא מוסמך בכל הקשור להליך, מתן הוראות, שכר טרחה, החלפת כונסי הנכסים במידת הצורך וכיו"ב. </w:t>
      </w:r>
    </w:p>
    <w:p w:rsidR="00014375" w:rsidRDefault="00014375" w:rsidP="00014375">
      <w:pPr>
        <w:pStyle w:val="ad"/>
        <w:spacing w:line="360" w:lineRule="auto"/>
        <w:ind w:left="1360" w:hanging="425"/>
        <w:jc w:val="both"/>
        <w:rPr>
          <w:rFonts w:ascii="David" w:hAnsi="David" w:cs="David"/>
          <w:b/>
          <w:bCs/>
          <w:sz w:val="24"/>
          <w:szCs w:val="24"/>
          <w:u w:val="single"/>
          <w:rtl/>
        </w:rPr>
      </w:pPr>
    </w:p>
    <w:p w:rsidR="00014375" w:rsidRDefault="00014375" w:rsidP="00014375">
      <w:pPr>
        <w:pStyle w:val="ad"/>
        <w:spacing w:line="360" w:lineRule="auto"/>
        <w:ind w:left="1360"/>
        <w:jc w:val="both"/>
        <w:rPr>
          <w:rFonts w:ascii="David" w:hAnsi="David" w:cs="David"/>
          <w:b/>
          <w:bCs/>
          <w:sz w:val="24"/>
          <w:szCs w:val="24"/>
          <w:u w:val="single"/>
        </w:rPr>
      </w:pPr>
      <w:r>
        <w:rPr>
          <w:rFonts w:ascii="David" w:eastAsia="Times New Roman" w:hAnsi="David" w:cs="David"/>
          <w:color w:val="000000"/>
          <w:sz w:val="24"/>
          <w:szCs w:val="24"/>
          <w:rtl/>
        </w:rPr>
        <w:t>התשלום שיתקבל ממכירת הבית, לאחר החזר הלוואת המשכנתא שנותרה לתשלום וניכוי כל ההוצאות מכל מין וסוג שהוא הכרוכות במכירתו, יחולק בין הצדדים בחלקים שווים, בכפוף להוראות כל דין. טרם חלוקת התמורה, יועבר מתוך חלקה של האישה לידי האיש הסכום ששילם בגין חלקה בחוב המשכנתא, כמפורט לעיל.</w:t>
      </w:r>
    </w:p>
    <w:p w:rsidR="00014375" w:rsidRDefault="00014375" w:rsidP="00014375">
      <w:pPr>
        <w:pStyle w:val="ad"/>
        <w:spacing w:line="360" w:lineRule="auto"/>
        <w:ind w:left="1360" w:hanging="425"/>
        <w:jc w:val="both"/>
        <w:rPr>
          <w:rFonts w:ascii="David" w:hAnsi="David" w:cs="David"/>
          <w:b/>
          <w:bCs/>
          <w:sz w:val="24"/>
          <w:szCs w:val="24"/>
          <w:u w:val="single"/>
          <w:rtl/>
        </w:rPr>
      </w:pPr>
    </w:p>
    <w:p w:rsidR="00014375" w:rsidRDefault="00014375" w:rsidP="00014375">
      <w:pPr>
        <w:pStyle w:val="ad"/>
        <w:numPr>
          <w:ilvl w:val="2"/>
          <w:numId w:val="1"/>
        </w:numPr>
        <w:spacing w:line="360" w:lineRule="auto"/>
        <w:ind w:left="1360" w:hanging="425"/>
        <w:jc w:val="both"/>
        <w:rPr>
          <w:rFonts w:ascii="David" w:hAnsi="David" w:cs="David"/>
          <w:b/>
          <w:bCs/>
          <w:sz w:val="24"/>
          <w:szCs w:val="24"/>
          <w:u w:val="single"/>
          <w:rtl/>
        </w:rPr>
      </w:pPr>
      <w:r>
        <w:rPr>
          <w:rFonts w:ascii="David" w:hAnsi="David" w:cs="David"/>
          <w:b/>
          <w:bCs/>
          <w:sz w:val="24"/>
          <w:szCs w:val="24"/>
          <w:rtl/>
        </w:rPr>
        <w:t xml:space="preserve">רכבים: </w:t>
      </w:r>
      <w:r>
        <w:rPr>
          <w:rFonts w:ascii="David" w:eastAsia="Times New Roman" w:hAnsi="David" w:cs="David"/>
          <w:color w:val="000000"/>
          <w:sz w:val="24"/>
          <w:szCs w:val="24"/>
          <w:rtl/>
        </w:rPr>
        <w:t>אני מורה על מכירת הרכבים באופן מידי וחלוקת התמורה באופן שווה בין הצדדים.</w:t>
      </w:r>
    </w:p>
    <w:p w:rsidR="00014375" w:rsidRDefault="00014375" w:rsidP="00014375">
      <w:pPr>
        <w:pStyle w:val="ad"/>
        <w:spacing w:line="360" w:lineRule="auto"/>
        <w:ind w:left="1360" w:hanging="425"/>
        <w:jc w:val="both"/>
        <w:rPr>
          <w:rFonts w:ascii="David" w:hAnsi="David" w:cs="David"/>
          <w:b/>
          <w:bCs/>
          <w:sz w:val="24"/>
          <w:szCs w:val="24"/>
          <w:highlight w:val="yellow"/>
          <w:u w:val="single"/>
        </w:rPr>
      </w:pPr>
    </w:p>
    <w:p w:rsidR="00014375" w:rsidRDefault="00014375" w:rsidP="00014375">
      <w:pPr>
        <w:pStyle w:val="ad"/>
        <w:numPr>
          <w:ilvl w:val="2"/>
          <w:numId w:val="1"/>
        </w:numPr>
        <w:spacing w:line="360" w:lineRule="auto"/>
        <w:ind w:left="1360" w:hanging="425"/>
        <w:jc w:val="both"/>
        <w:rPr>
          <w:rFonts w:ascii="David" w:hAnsi="David" w:cs="David"/>
          <w:b/>
          <w:bCs/>
          <w:sz w:val="24"/>
          <w:szCs w:val="24"/>
          <w:u w:val="single"/>
        </w:rPr>
      </w:pPr>
      <w:r>
        <w:rPr>
          <w:rFonts w:ascii="David" w:hAnsi="David" w:cs="David"/>
          <w:sz w:val="24"/>
          <w:szCs w:val="24"/>
          <w:rtl/>
        </w:rPr>
        <w:t xml:space="preserve">האישה תשלם לאיש מחצית מהתשלום ששילם עבור שכר טרחת המומחים, בהתאם להחלטות מיום 8.5.19, מיום 20.6.19 ומיום 24.2.20, וזאת כפוף להמצאת קבלות על ידי האיש בגין התשלום. </w:t>
      </w:r>
    </w:p>
    <w:p w:rsidR="00AB1249" w:rsidRPr="00AB1249" w:rsidRDefault="00AB1249" w:rsidP="00AB1249">
      <w:pPr>
        <w:pStyle w:val="ad"/>
        <w:rPr>
          <w:rFonts w:ascii="David" w:hAnsi="David" w:cs="David"/>
          <w:b/>
          <w:bCs/>
          <w:sz w:val="24"/>
          <w:szCs w:val="24"/>
          <w:u w:val="single"/>
          <w:rtl/>
        </w:rPr>
      </w:pPr>
    </w:p>
    <w:p w:rsidR="00014375" w:rsidRPr="004A678B" w:rsidRDefault="00014375" w:rsidP="00014375">
      <w:pPr>
        <w:spacing w:line="360" w:lineRule="auto"/>
        <w:jc w:val="both"/>
        <w:rPr>
          <w:rFonts w:ascii="David" w:hAnsi="David"/>
          <w:b/>
          <w:bCs/>
          <w:u w:val="single"/>
        </w:rPr>
      </w:pPr>
    </w:p>
    <w:p w:rsidR="00014375" w:rsidRDefault="00014375" w:rsidP="00014375">
      <w:pPr>
        <w:spacing w:line="360" w:lineRule="auto"/>
        <w:ind w:firstLine="284"/>
        <w:jc w:val="both"/>
        <w:rPr>
          <w:rFonts w:ascii="David" w:hAnsi="David"/>
          <w:u w:val="single"/>
          <w:rtl/>
        </w:rPr>
      </w:pPr>
      <w:r>
        <w:rPr>
          <w:rFonts w:ascii="David" w:hAnsi="David"/>
          <w:b/>
          <w:bCs/>
          <w:u w:val="single"/>
          <w:rtl/>
        </w:rPr>
        <w:t>התביעה לדמי שימוש</w:t>
      </w:r>
      <w:r>
        <w:rPr>
          <w:rFonts w:ascii="David" w:hAnsi="David"/>
          <w:u w:val="single"/>
          <w:rtl/>
        </w:rPr>
        <w:t xml:space="preserve"> </w:t>
      </w:r>
      <w:r>
        <w:rPr>
          <w:rFonts w:ascii="David" w:hAnsi="David"/>
          <w:b/>
          <w:bCs/>
          <w:u w:val="single"/>
          <w:rtl/>
        </w:rPr>
        <w:t>ראויים</w:t>
      </w:r>
    </w:p>
    <w:p w:rsidR="00014375" w:rsidRDefault="00014375" w:rsidP="00014375">
      <w:pPr>
        <w:pStyle w:val="ad"/>
        <w:numPr>
          <w:ilvl w:val="0"/>
          <w:numId w:val="1"/>
        </w:numPr>
        <w:shd w:val="clear" w:color="auto" w:fill="FFFFFF"/>
        <w:spacing w:line="360" w:lineRule="atLeast"/>
        <w:jc w:val="both"/>
        <w:rPr>
          <w:rFonts w:ascii="David" w:hAnsi="David" w:cs="David"/>
          <w:color w:val="000000"/>
          <w:sz w:val="24"/>
          <w:szCs w:val="24"/>
        </w:rPr>
      </w:pPr>
      <w:r>
        <w:rPr>
          <w:rFonts w:ascii="David" w:hAnsi="David" w:cs="David"/>
          <w:sz w:val="24"/>
          <w:szCs w:val="24"/>
          <w:rtl/>
        </w:rPr>
        <w:t xml:space="preserve">האיש עתר לחיוב האישה בדמי שימוש ראויים עבור שימושה הבלעדי בבית המגורים וזאת מיום 1.12.2017 המועד בו עזב את בית המגורים, ועד למועד בו יימכר בית הצדדים. </w:t>
      </w:r>
    </w:p>
    <w:p w:rsidR="00014375" w:rsidRDefault="00014375" w:rsidP="00014375">
      <w:pPr>
        <w:pStyle w:val="ad"/>
        <w:shd w:val="clear" w:color="auto" w:fill="FFFFFF"/>
        <w:spacing w:line="360" w:lineRule="atLeast"/>
        <w:jc w:val="both"/>
        <w:rPr>
          <w:rFonts w:ascii="David" w:hAnsi="David" w:cs="David"/>
          <w:color w:val="000000"/>
          <w:sz w:val="24"/>
          <w:szCs w:val="24"/>
          <w:rtl/>
        </w:rPr>
      </w:pPr>
    </w:p>
    <w:p w:rsidR="00014375" w:rsidRDefault="00014375" w:rsidP="00014375">
      <w:pPr>
        <w:pStyle w:val="ad"/>
        <w:numPr>
          <w:ilvl w:val="0"/>
          <w:numId w:val="1"/>
        </w:numPr>
        <w:shd w:val="clear" w:color="auto" w:fill="FFFFFF"/>
        <w:spacing w:line="360" w:lineRule="atLeast"/>
        <w:jc w:val="both"/>
        <w:rPr>
          <w:rFonts w:ascii="David" w:hAnsi="David" w:cs="David"/>
          <w:color w:val="000000"/>
          <w:sz w:val="24"/>
          <w:szCs w:val="24"/>
          <w:rtl/>
        </w:rPr>
      </w:pPr>
      <w:r>
        <w:rPr>
          <w:rFonts w:ascii="David" w:hAnsi="David" w:cs="David"/>
          <w:color w:val="000000"/>
          <w:sz w:val="24"/>
          <w:szCs w:val="24"/>
          <w:rtl/>
        </w:rPr>
        <w:t xml:space="preserve">בכתב התביעה טען האיש כי עזב את בית הצדדים לאחר שהאישה הוציאה כנגדו צווי הגנה, הגישה תלונות במשטרה, הטרידה והציקה לו, עד שהאיש חש כי מסוכן להמשיך ולחיות בבית </w:t>
      </w:r>
      <w:r>
        <w:rPr>
          <w:rFonts w:ascii="David" w:hAnsi="David" w:cs="David"/>
          <w:color w:val="000000"/>
          <w:sz w:val="24"/>
          <w:szCs w:val="24"/>
          <w:rtl/>
        </w:rPr>
        <w:lastRenderedPageBreak/>
        <w:t xml:space="preserve">הצדדים. בסיכומיו טען כי נאלץ לעזוב את בית המגורים עקב תלונת שווא של האישה וכי האישה איימה על מתווכים שהתקשרו בהתאם להנחייתו, ומנעה בכך  את מכירת הבית. </w:t>
      </w:r>
    </w:p>
    <w:p w:rsidR="00014375" w:rsidRDefault="00014375" w:rsidP="00014375">
      <w:pPr>
        <w:pStyle w:val="ad"/>
        <w:shd w:val="clear" w:color="auto" w:fill="FFFFFF"/>
        <w:spacing w:line="360" w:lineRule="atLeast"/>
        <w:jc w:val="both"/>
        <w:rPr>
          <w:rFonts w:ascii="David" w:hAnsi="David" w:cs="David"/>
          <w:color w:val="000000"/>
          <w:sz w:val="24"/>
          <w:szCs w:val="24"/>
        </w:rPr>
      </w:pPr>
    </w:p>
    <w:p w:rsidR="00014375" w:rsidRDefault="00014375" w:rsidP="00014375">
      <w:pPr>
        <w:pStyle w:val="ad"/>
        <w:numPr>
          <w:ilvl w:val="0"/>
          <w:numId w:val="1"/>
        </w:numPr>
        <w:spacing w:line="360" w:lineRule="auto"/>
        <w:jc w:val="both"/>
        <w:rPr>
          <w:rFonts w:ascii="David" w:hAnsi="David" w:cs="David"/>
          <w:sz w:val="24"/>
          <w:szCs w:val="24"/>
        </w:rPr>
      </w:pPr>
      <w:r>
        <w:rPr>
          <w:rFonts w:ascii="David" w:hAnsi="David" w:cs="David"/>
          <w:sz w:val="24"/>
          <w:szCs w:val="24"/>
          <w:rtl/>
        </w:rPr>
        <w:t>מנגד, טענה האישה כי יש לדחות את התביעה, אשר הוגשה בחוסר תום לב ועוד בטרם ניתנה החלטה לפירוק שיתוף בבית הצדדים. לטענתה, האיש לא הגיש תביעה לפירוק השיתוף ונסמך על תביעתה הרכושית של האישה, אשר לא עתרה לפירוק שיתוף מידי בבית המגורים.</w:t>
      </w:r>
    </w:p>
    <w:p w:rsidR="00014375" w:rsidRPr="00014375" w:rsidRDefault="00014375" w:rsidP="00014375">
      <w:pPr>
        <w:pStyle w:val="ad"/>
        <w:rPr>
          <w:rFonts w:ascii="David" w:hAnsi="David" w:cs="David"/>
          <w:sz w:val="24"/>
          <w:szCs w:val="24"/>
          <w:rtl/>
        </w:rPr>
      </w:pPr>
    </w:p>
    <w:p w:rsidR="00014375" w:rsidRDefault="00014375" w:rsidP="00014375">
      <w:pPr>
        <w:pStyle w:val="ad"/>
        <w:rPr>
          <w:rFonts w:ascii="David" w:hAnsi="David" w:cs="David"/>
          <w:sz w:val="24"/>
          <w:szCs w:val="24"/>
        </w:rPr>
      </w:pPr>
    </w:p>
    <w:p w:rsidR="00014375" w:rsidRDefault="00014375" w:rsidP="00014375">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דיון והכרעה</w:t>
      </w:r>
    </w:p>
    <w:p w:rsidR="00014375" w:rsidRDefault="00014375" w:rsidP="00014375">
      <w:pPr>
        <w:pStyle w:val="ad"/>
        <w:shd w:val="clear" w:color="auto" w:fill="FFFFFF"/>
        <w:spacing w:line="360" w:lineRule="atLeast"/>
        <w:jc w:val="both"/>
        <w:rPr>
          <w:rFonts w:ascii="David" w:hAnsi="David" w:cs="David"/>
          <w:b/>
          <w:bCs/>
          <w:color w:val="000000"/>
          <w:sz w:val="24"/>
          <w:szCs w:val="24"/>
          <w:u w:val="single"/>
        </w:rPr>
      </w:pPr>
    </w:p>
    <w:p w:rsidR="00014375" w:rsidRDefault="00014375" w:rsidP="00014375">
      <w:pPr>
        <w:pStyle w:val="ad"/>
        <w:numPr>
          <w:ilvl w:val="0"/>
          <w:numId w:val="1"/>
        </w:numPr>
        <w:tabs>
          <w:tab w:val="left" w:pos="8306"/>
        </w:tabs>
        <w:spacing w:line="360" w:lineRule="auto"/>
        <w:jc w:val="both"/>
        <w:rPr>
          <w:rFonts w:ascii="David" w:hAnsi="David" w:cs="David"/>
          <w:b/>
          <w:bCs/>
          <w:sz w:val="24"/>
          <w:szCs w:val="24"/>
          <w:rtl/>
        </w:rPr>
      </w:pPr>
      <w:r>
        <w:rPr>
          <w:rFonts w:ascii="David" w:hAnsi="David" w:cs="David"/>
          <w:color w:val="000000"/>
          <w:sz w:val="24"/>
          <w:szCs w:val="24"/>
          <w:rtl/>
        </w:rPr>
        <w:t xml:space="preserve">סעיף 33 לחוק המקרקעין, התשכ"ט – 1969 קובע כי: </w:t>
      </w:r>
      <w:r>
        <w:rPr>
          <w:rFonts w:ascii="David" w:hAnsi="David" w:cs="David"/>
          <w:b/>
          <w:bCs/>
          <w:color w:val="000000"/>
          <w:sz w:val="24"/>
          <w:szCs w:val="24"/>
          <w:rtl/>
        </w:rPr>
        <w:t xml:space="preserve">"שותף שהשתמש במקרקעין משותפים חייב ליתר השותפים, לפי חלקיהם במקרקעין, שכר ראוי בעד השימוש".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tabs>
          <w:tab w:val="left" w:pos="8306"/>
        </w:tabs>
        <w:spacing w:line="360" w:lineRule="auto"/>
        <w:jc w:val="both"/>
        <w:rPr>
          <w:rFonts w:ascii="David" w:hAnsi="David" w:cs="David"/>
          <w:sz w:val="24"/>
          <w:szCs w:val="24"/>
          <w:rtl/>
        </w:rPr>
      </w:pPr>
      <w:r>
        <w:rPr>
          <w:rFonts w:ascii="David" w:hAnsi="David" w:cs="David"/>
          <w:color w:val="000000"/>
          <w:sz w:val="24"/>
          <w:szCs w:val="24"/>
          <w:rtl/>
        </w:rPr>
        <w:t xml:space="preserve"> בהלכת זרקא סייג בית המשפט העליון את החובה המוטלת בס' 33 לחוק המקרקעין וקבע, כי החובה קיימת רק כששותף אחד עשה שימוש בלעדי במקרקעין, כך שנמנע מיתר השותפים לעשות אף הם שימוש במקרקעין. נטל השכנוע עומד לפתחו של זה הטוען כי נמנע ממנו השימוש במקרקעין (ראו: ע"א 1492/90 </w:t>
      </w:r>
      <w:r>
        <w:rPr>
          <w:rFonts w:ascii="David" w:hAnsi="David" w:cs="David"/>
          <w:b/>
          <w:bCs/>
          <w:color w:val="000000"/>
          <w:sz w:val="24"/>
          <w:szCs w:val="24"/>
          <w:rtl/>
        </w:rPr>
        <w:t xml:space="preserve">נאיפה סעיד זרקא נ' סלמאן </w:t>
      </w:r>
      <w:r>
        <w:rPr>
          <w:rFonts w:ascii="David" w:hAnsi="David" w:cs="David"/>
          <w:color w:val="000000"/>
          <w:sz w:val="24"/>
          <w:szCs w:val="24"/>
          <w:rtl/>
        </w:rPr>
        <w:t>(1990)).</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tabs>
          <w:tab w:val="left" w:pos="8306"/>
        </w:tabs>
        <w:spacing w:line="360" w:lineRule="auto"/>
        <w:jc w:val="both"/>
        <w:rPr>
          <w:rFonts w:ascii="David" w:hAnsi="David" w:cs="David"/>
          <w:sz w:val="24"/>
          <w:szCs w:val="24"/>
          <w:rtl/>
        </w:rPr>
      </w:pPr>
      <w:r>
        <w:rPr>
          <w:rFonts w:ascii="David" w:hAnsi="David" w:cs="David"/>
          <w:color w:val="000000"/>
          <w:sz w:val="24"/>
          <w:szCs w:val="24"/>
          <w:rtl/>
        </w:rPr>
        <w:t xml:space="preserve">על הלכת זרקא נמתחה ביקורת, אולם, הלכה זו עומדת על כנה וממשיכה להנחות את בתי המשפט. בצד זה ניתן למצוא אמירות לכאן ולכאן בפסיקות בתי המשפט הנוגעות לחיוב דמי שימוש בין בני זוג (ראו: עמ"ש 10884-03-16 </w:t>
      </w:r>
      <w:r>
        <w:rPr>
          <w:rFonts w:ascii="David" w:hAnsi="David" w:cs="David"/>
          <w:b/>
          <w:bCs/>
          <w:color w:val="000000"/>
          <w:sz w:val="24"/>
          <w:szCs w:val="24"/>
          <w:rtl/>
        </w:rPr>
        <w:t xml:space="preserve">מ. נ' מ. </w:t>
      </w:r>
      <w:r>
        <w:rPr>
          <w:rFonts w:ascii="David" w:hAnsi="David" w:cs="David"/>
          <w:color w:val="000000"/>
          <w:sz w:val="24"/>
          <w:szCs w:val="24"/>
          <w:rtl/>
        </w:rPr>
        <w:t>(21.07.17)).</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hd w:val="clear" w:color="auto" w:fill="FFFFFF"/>
        <w:spacing w:line="360" w:lineRule="atLeast"/>
        <w:jc w:val="both"/>
        <w:rPr>
          <w:rFonts w:ascii="David" w:hAnsi="David" w:cs="David"/>
          <w:color w:val="000000"/>
          <w:sz w:val="24"/>
          <w:szCs w:val="24"/>
          <w:rtl/>
        </w:rPr>
      </w:pPr>
      <w:r>
        <w:rPr>
          <w:rFonts w:ascii="David" w:hAnsi="David" w:cs="David"/>
          <w:color w:val="000000"/>
          <w:sz w:val="24"/>
          <w:szCs w:val="24"/>
          <w:rtl/>
        </w:rPr>
        <w:t xml:space="preserve">הפסיקה קבעה כי - "אין פירושו של דבר שבן הזוג הנשאר בדירה הופך באחת לשוכר בעל כורחו" (ראו: בע"מ 5357/06 </w:t>
      </w:r>
      <w:r>
        <w:rPr>
          <w:rFonts w:ascii="David" w:hAnsi="David" w:cs="David"/>
          <w:b/>
          <w:bCs/>
          <w:color w:val="000000"/>
          <w:sz w:val="24"/>
          <w:szCs w:val="24"/>
          <w:rtl/>
        </w:rPr>
        <w:t>פלוני נ' פלונית</w:t>
      </w:r>
      <w:r>
        <w:rPr>
          <w:rFonts w:ascii="David" w:hAnsi="David" w:cs="David"/>
          <w:color w:val="000000"/>
          <w:sz w:val="24"/>
          <w:szCs w:val="24"/>
          <w:rtl/>
        </w:rPr>
        <w:t xml:space="preserve"> (2006)).</w:t>
      </w:r>
      <w:r>
        <w:rPr>
          <w:rFonts w:ascii="David" w:hAnsi="David" w:cs="David"/>
          <w:sz w:val="24"/>
          <w:szCs w:val="24"/>
          <w:rtl/>
        </w:rPr>
        <w:t xml:space="preserve"> כמו כן נפסק, כי </w:t>
      </w:r>
      <w:r>
        <w:rPr>
          <w:rFonts w:ascii="David" w:hAnsi="David" w:cs="David"/>
          <w:color w:val="000000"/>
          <w:sz w:val="24"/>
          <w:szCs w:val="24"/>
          <w:rtl/>
        </w:rPr>
        <w:t>החיוב יחול רק כאשר השימוש של השותף הנו אסור, ואין המדובר בשימוש הנובע מעזיבה סתם של האחר".</w:t>
      </w:r>
      <w:r>
        <w:rPr>
          <w:rFonts w:ascii="David" w:hAnsi="David" w:cs="David"/>
          <w:b/>
          <w:bCs/>
          <w:color w:val="000000"/>
          <w:sz w:val="24"/>
          <w:szCs w:val="24"/>
          <w:rtl/>
        </w:rPr>
        <w:t xml:space="preserve"> </w:t>
      </w:r>
      <w:r>
        <w:rPr>
          <w:rFonts w:ascii="David" w:hAnsi="David" w:cs="David"/>
          <w:color w:val="000000"/>
          <w:sz w:val="24"/>
          <w:szCs w:val="24"/>
          <w:rtl/>
        </w:rPr>
        <w:t>(ראו: בע"מ 674/01</w:t>
      </w:r>
      <w:r>
        <w:rPr>
          <w:rFonts w:ascii="David" w:hAnsi="David" w:cs="David"/>
          <w:b/>
          <w:bCs/>
          <w:color w:val="000000"/>
          <w:sz w:val="24"/>
          <w:szCs w:val="24"/>
          <w:rtl/>
        </w:rPr>
        <w:t xml:space="preserve"> שרעבי נ' בר שי </w:t>
      </w:r>
      <w:r>
        <w:rPr>
          <w:rFonts w:ascii="David" w:hAnsi="David" w:cs="David"/>
          <w:color w:val="000000"/>
          <w:sz w:val="24"/>
          <w:szCs w:val="24"/>
          <w:rtl/>
        </w:rPr>
        <w:t xml:space="preserve">(19.9.02)). </w:t>
      </w:r>
    </w:p>
    <w:p w:rsidR="00014375" w:rsidRDefault="00014375" w:rsidP="00014375">
      <w:pPr>
        <w:pStyle w:val="ad"/>
        <w:tabs>
          <w:tab w:val="left" w:pos="8306"/>
        </w:tabs>
        <w:spacing w:line="360" w:lineRule="auto"/>
        <w:jc w:val="both"/>
        <w:rPr>
          <w:rFonts w:ascii="David" w:hAnsi="David" w:cs="David"/>
          <w:sz w:val="24"/>
          <w:szCs w:val="24"/>
        </w:rPr>
      </w:pPr>
    </w:p>
    <w:p w:rsidR="00014375" w:rsidRDefault="00014375" w:rsidP="00014375">
      <w:pPr>
        <w:pStyle w:val="ad"/>
        <w:rPr>
          <w:rFonts w:ascii="David" w:hAnsi="David" w:cs="David"/>
          <w:sz w:val="24"/>
          <w:szCs w:val="24"/>
        </w:rPr>
      </w:pPr>
    </w:p>
    <w:p w:rsidR="00014375" w:rsidRDefault="00014375" w:rsidP="00014375">
      <w:pPr>
        <w:pStyle w:val="ad"/>
        <w:numPr>
          <w:ilvl w:val="0"/>
          <w:numId w:val="1"/>
        </w:numPr>
        <w:tabs>
          <w:tab w:val="left" w:pos="8306"/>
        </w:tabs>
        <w:spacing w:line="360" w:lineRule="auto"/>
        <w:jc w:val="both"/>
        <w:rPr>
          <w:rFonts w:ascii="David" w:hAnsi="David" w:cs="David"/>
          <w:sz w:val="24"/>
          <w:szCs w:val="24"/>
          <w:rtl/>
        </w:rPr>
      </w:pPr>
      <w:r>
        <w:rPr>
          <w:rFonts w:ascii="David" w:hAnsi="David" w:cs="David"/>
          <w:color w:val="000000"/>
          <w:sz w:val="24"/>
          <w:szCs w:val="24"/>
          <w:rtl/>
        </w:rPr>
        <w:t xml:space="preserve">מנגד נפסק, כי "העובדה שעקב סכסוך עוזב אחד מבני הזוג את דירת המגורים- אפילו מרצונו-אינה מעידה כשלעצמה כי הוא מוותר על זכויותיו הקנייניות בדירה, ובכלל זאת הזכות ל"שכר ראוי עבור השימוש". (ראו: בע"מ 9881/05 </w:t>
      </w:r>
      <w:r>
        <w:rPr>
          <w:rFonts w:ascii="David" w:hAnsi="David" w:cs="David"/>
          <w:b/>
          <w:bCs/>
          <w:color w:val="000000"/>
          <w:sz w:val="24"/>
          <w:szCs w:val="24"/>
          <w:rtl/>
        </w:rPr>
        <w:t>פלוני נ' פלוני</w:t>
      </w:r>
      <w:r>
        <w:rPr>
          <w:rFonts w:ascii="David" w:hAnsi="David" w:cs="David"/>
          <w:color w:val="000000"/>
          <w:sz w:val="24"/>
          <w:szCs w:val="24"/>
          <w:rtl/>
        </w:rPr>
        <w:t xml:space="preserve"> (09.04.2006). הפסיקה הכירה בכך שגם כאשר אחד מבני הזוג עוזב את הבית המשותף בתקופה הקשה של פירוק הקשר, אין בכך כדי להעיד כי הוא מוותר על זכויותיו "מעתה ועד עולם". (ראו: בע"מ 9126/05 </w:t>
      </w:r>
      <w:r>
        <w:rPr>
          <w:rFonts w:ascii="David" w:hAnsi="David" w:cs="David"/>
          <w:b/>
          <w:bCs/>
          <w:color w:val="000000"/>
          <w:sz w:val="24"/>
          <w:szCs w:val="24"/>
          <w:rtl/>
        </w:rPr>
        <w:t>פלונית נ' פלוני</w:t>
      </w:r>
      <w:r>
        <w:rPr>
          <w:rFonts w:ascii="David" w:hAnsi="David" w:cs="David"/>
          <w:color w:val="000000"/>
          <w:sz w:val="24"/>
          <w:szCs w:val="24"/>
          <w:rtl/>
        </w:rPr>
        <w:t xml:space="preserve"> (26.01.2006)</w:t>
      </w:r>
    </w:p>
    <w:p w:rsidR="00014375" w:rsidRDefault="00014375" w:rsidP="00014375">
      <w:pPr>
        <w:pStyle w:val="ad"/>
        <w:tabs>
          <w:tab w:val="left" w:pos="8306"/>
        </w:tabs>
        <w:spacing w:line="360" w:lineRule="auto"/>
        <w:ind w:left="644"/>
        <w:jc w:val="both"/>
        <w:rPr>
          <w:rFonts w:ascii="David" w:hAnsi="David" w:cs="David"/>
          <w:sz w:val="24"/>
          <w:szCs w:val="24"/>
        </w:rPr>
      </w:pPr>
      <w:r>
        <w:rPr>
          <w:rFonts w:ascii="David" w:hAnsi="David" w:cs="David"/>
          <w:sz w:val="24"/>
          <w:szCs w:val="24"/>
        </w:rPr>
        <w:t xml:space="preserve"> </w:t>
      </w:r>
    </w:p>
    <w:p w:rsidR="00014375" w:rsidRDefault="00014375" w:rsidP="00014375">
      <w:pPr>
        <w:pStyle w:val="ad"/>
        <w:numPr>
          <w:ilvl w:val="0"/>
          <w:numId w:val="1"/>
        </w:numPr>
        <w:tabs>
          <w:tab w:val="left" w:pos="8306"/>
        </w:tabs>
        <w:spacing w:line="360" w:lineRule="auto"/>
        <w:jc w:val="both"/>
        <w:rPr>
          <w:rFonts w:ascii="David" w:hAnsi="David" w:cs="David"/>
          <w:sz w:val="24"/>
          <w:szCs w:val="24"/>
        </w:rPr>
      </w:pPr>
      <w:r>
        <w:rPr>
          <w:rFonts w:ascii="David" w:hAnsi="David" w:cs="David"/>
          <w:sz w:val="24"/>
          <w:szCs w:val="24"/>
          <w:rtl/>
        </w:rPr>
        <w:lastRenderedPageBreak/>
        <w:t xml:space="preserve">לעניין המועד שממנו ניתן לחייב בדמי שימוש ראויים נפסק, כי </w:t>
      </w:r>
      <w:r>
        <w:rPr>
          <w:rFonts w:ascii="David" w:hAnsi="David" w:cs="David"/>
          <w:color w:val="000000"/>
          <w:sz w:val="24"/>
          <w:szCs w:val="24"/>
          <w:rtl/>
        </w:rPr>
        <w:t xml:space="preserve">ביחס לתקופה שאחרי הגירושין, הכלל הוא פסיקת דמי שימוש  והחריג הוא פטור – שיינתן רק בנסיבות של ויתור מפורש. (ראו: בע"מ 5357/06 </w:t>
      </w:r>
      <w:r>
        <w:rPr>
          <w:rFonts w:ascii="David" w:hAnsi="David" w:cs="David"/>
          <w:b/>
          <w:bCs/>
          <w:color w:val="000000"/>
          <w:sz w:val="24"/>
          <w:szCs w:val="24"/>
          <w:rtl/>
        </w:rPr>
        <w:t>פלוני נ' פלוני</w:t>
      </w:r>
      <w:r>
        <w:rPr>
          <w:rFonts w:ascii="David" w:hAnsi="David" w:cs="David"/>
          <w:color w:val="000000"/>
          <w:sz w:val="24"/>
          <w:szCs w:val="24"/>
          <w:rtl/>
        </w:rPr>
        <w:t xml:space="preserve"> (22.10.2006)</w:t>
      </w:r>
      <w:r>
        <w:rPr>
          <w:rFonts w:ascii="David" w:hAnsi="David" w:cs="David"/>
          <w:sz w:val="24"/>
          <w:szCs w:val="24"/>
          <w:rtl/>
        </w:rPr>
        <w:t xml:space="preserve">). </w:t>
      </w:r>
    </w:p>
    <w:p w:rsidR="00014375" w:rsidRDefault="00014375" w:rsidP="00014375">
      <w:pPr>
        <w:pStyle w:val="ad"/>
        <w:rPr>
          <w:rFonts w:ascii="David" w:hAnsi="David" w:cs="David"/>
          <w:sz w:val="24"/>
          <w:szCs w:val="24"/>
        </w:rPr>
      </w:pPr>
    </w:p>
    <w:p w:rsidR="00014375" w:rsidRDefault="00014375" w:rsidP="00014375">
      <w:pPr>
        <w:pStyle w:val="ad"/>
        <w:rPr>
          <w:rFonts w:ascii="David" w:hAnsi="David" w:cs="David"/>
          <w:sz w:val="24"/>
          <w:szCs w:val="24"/>
          <w:rtl/>
        </w:rPr>
      </w:pPr>
    </w:p>
    <w:p w:rsidR="00014375" w:rsidRDefault="00014375" w:rsidP="00014375">
      <w:pPr>
        <w:pStyle w:val="ad"/>
        <w:numPr>
          <w:ilvl w:val="0"/>
          <w:numId w:val="1"/>
        </w:numPr>
        <w:tabs>
          <w:tab w:val="left" w:pos="8306"/>
        </w:tabs>
        <w:spacing w:line="360" w:lineRule="auto"/>
        <w:jc w:val="both"/>
        <w:rPr>
          <w:rFonts w:ascii="David" w:hAnsi="David" w:cs="David"/>
          <w:sz w:val="24"/>
          <w:szCs w:val="24"/>
          <w:rtl/>
        </w:rPr>
      </w:pPr>
      <w:r>
        <w:rPr>
          <w:rFonts w:ascii="David" w:hAnsi="David" w:cs="David"/>
          <w:color w:val="000000"/>
          <w:sz w:val="24"/>
          <w:szCs w:val="24"/>
          <w:rtl/>
        </w:rPr>
        <w:t>עוד נקבע בפסיקה, כי "דרך כלל, יש לקבוע כי תחילת מועד החיוב לא יקדם ממועד מתן החלטה על פירוק השיתוף בפועל על ידי בית המשפט הדן בעניינם של בני הזוג"</w:t>
      </w:r>
      <w:r>
        <w:rPr>
          <w:rFonts w:ascii="David" w:hAnsi="David" w:cs="David"/>
          <w:sz w:val="24"/>
          <w:szCs w:val="24"/>
          <w:rtl/>
        </w:rPr>
        <w:t xml:space="preserve">, וכי </w:t>
      </w:r>
      <w:r>
        <w:rPr>
          <w:rFonts w:ascii="David" w:hAnsi="David" w:cs="David"/>
          <w:color w:val="000000"/>
          <w:sz w:val="24"/>
          <w:szCs w:val="24"/>
          <w:rtl/>
        </w:rPr>
        <w:t>"מעת שבן הזוג שעזב את הדירה הגיש תביעה לפירוק שיתוף, הרי גילה דעתו שאין הוא מסכים לא לשימוש הייחודי ולא לוויתור על דמי שימוש ראויים. יתר על כן, כפי שהובא לעיל, גם לשיטת הגורסים כי בין בני זוג אין מקום לפסיקת דמי שימוש ראויים, הרי הפתרון לפגיעה בזכות הקניינית ועשיית העושר של בן הזוג האחר, יימצא בדרישה לפירוק השיתוף"</w:t>
      </w:r>
      <w:r>
        <w:rPr>
          <w:rFonts w:ascii="David" w:hAnsi="David" w:cs="David"/>
          <w:sz w:val="24"/>
          <w:szCs w:val="24"/>
          <w:rtl/>
        </w:rPr>
        <w:t xml:space="preserve"> (</w:t>
      </w:r>
      <w:r>
        <w:rPr>
          <w:rFonts w:ascii="David" w:hAnsi="David" w:cs="David"/>
          <w:color w:val="000000"/>
          <w:sz w:val="24"/>
          <w:szCs w:val="24"/>
          <w:rtl/>
        </w:rPr>
        <w:t xml:space="preserve">ראו: עמ"ש 7396-12-09 </w:t>
      </w:r>
      <w:r>
        <w:rPr>
          <w:rFonts w:ascii="David" w:hAnsi="David" w:cs="David"/>
          <w:b/>
          <w:bCs/>
          <w:color w:val="000000"/>
          <w:sz w:val="24"/>
          <w:szCs w:val="24"/>
          <w:rtl/>
        </w:rPr>
        <w:t xml:space="preserve">פלונית נ' אלמוני </w:t>
      </w:r>
      <w:r>
        <w:rPr>
          <w:rFonts w:ascii="David" w:hAnsi="David" w:cs="David"/>
          <w:color w:val="000000"/>
          <w:sz w:val="24"/>
          <w:szCs w:val="24"/>
          <w:rtl/>
        </w:rPr>
        <w:t>(21.04.2013)</w:t>
      </w:r>
    </w:p>
    <w:p w:rsidR="00014375" w:rsidRDefault="00014375" w:rsidP="00014375">
      <w:pPr>
        <w:pStyle w:val="ad"/>
        <w:tabs>
          <w:tab w:val="left" w:pos="8306"/>
        </w:tabs>
        <w:spacing w:line="360" w:lineRule="auto"/>
        <w:jc w:val="both"/>
        <w:rPr>
          <w:rFonts w:ascii="David" w:hAnsi="David" w:cs="David"/>
          <w:sz w:val="24"/>
          <w:szCs w:val="24"/>
        </w:rPr>
      </w:pPr>
    </w:p>
    <w:p w:rsidR="00014375" w:rsidRDefault="00014375" w:rsidP="00014375">
      <w:pPr>
        <w:pStyle w:val="ad"/>
        <w:numPr>
          <w:ilvl w:val="0"/>
          <w:numId w:val="1"/>
        </w:numPr>
        <w:tabs>
          <w:tab w:val="left" w:pos="8306"/>
        </w:tabs>
        <w:spacing w:line="360" w:lineRule="auto"/>
        <w:jc w:val="both"/>
        <w:rPr>
          <w:rFonts w:ascii="David" w:hAnsi="David" w:cs="David"/>
          <w:sz w:val="24"/>
          <w:szCs w:val="24"/>
        </w:rPr>
      </w:pPr>
      <w:r>
        <w:rPr>
          <w:rFonts w:ascii="David" w:hAnsi="David" w:cs="David"/>
          <w:color w:val="000000"/>
          <w:sz w:val="24"/>
          <w:szCs w:val="24"/>
          <w:rtl/>
        </w:rPr>
        <w:t xml:space="preserve">מכל מקום, הפסיקה מדגישה את שיקול הדעת הרחב הנתון לבית המשפט לענייני משפחה בעת פסיקת דמי השימוש הראויים בין בני זוג תוך שקלול כלל הנסיבות (ראו: בע"מ 9126/05 </w:t>
      </w:r>
      <w:r>
        <w:rPr>
          <w:rFonts w:ascii="David" w:hAnsi="David" w:cs="David"/>
          <w:b/>
          <w:bCs/>
          <w:color w:val="000000"/>
          <w:sz w:val="24"/>
          <w:szCs w:val="24"/>
          <w:rtl/>
        </w:rPr>
        <w:t>פלונית נ' פלוני</w:t>
      </w:r>
      <w:r>
        <w:rPr>
          <w:rFonts w:ascii="David" w:hAnsi="David" w:cs="David"/>
          <w:color w:val="000000"/>
          <w:sz w:val="24"/>
          <w:szCs w:val="24"/>
          <w:rtl/>
        </w:rPr>
        <w:t xml:space="preserve"> (26.01.2006)).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tabs>
          <w:tab w:val="left" w:pos="8306"/>
        </w:tabs>
        <w:spacing w:line="360" w:lineRule="auto"/>
        <w:jc w:val="both"/>
        <w:rPr>
          <w:rFonts w:ascii="David" w:hAnsi="David" w:cs="David"/>
          <w:sz w:val="24"/>
          <w:szCs w:val="24"/>
          <w:rtl/>
        </w:rPr>
      </w:pPr>
      <w:r>
        <w:rPr>
          <w:rFonts w:ascii="David" w:hAnsi="David" w:cs="David"/>
          <w:color w:val="000000"/>
          <w:sz w:val="24"/>
          <w:szCs w:val="24"/>
          <w:rtl/>
        </w:rPr>
        <w:t>מהראיות שהונחו לפניי עולה, כי האיש לא הוכיח תביעתו לקבלת דמי שימוש ראויים.  ואסביר.</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tabs>
          <w:tab w:val="left" w:pos="8306"/>
        </w:tabs>
        <w:spacing w:line="360" w:lineRule="auto"/>
        <w:jc w:val="both"/>
        <w:rPr>
          <w:rFonts w:ascii="David" w:hAnsi="David" w:cs="David"/>
          <w:sz w:val="24"/>
          <w:szCs w:val="24"/>
          <w:rtl/>
        </w:rPr>
      </w:pPr>
      <w:r>
        <w:rPr>
          <w:rFonts w:ascii="David" w:hAnsi="David" w:cs="David"/>
          <w:b/>
          <w:bCs/>
          <w:color w:val="000000"/>
          <w:sz w:val="24"/>
          <w:szCs w:val="24"/>
          <w:u w:val="single"/>
          <w:rtl/>
        </w:rPr>
        <w:t>ראשית</w:t>
      </w:r>
      <w:r>
        <w:rPr>
          <w:rFonts w:ascii="David" w:hAnsi="David" w:cs="David"/>
          <w:b/>
          <w:bCs/>
          <w:color w:val="000000"/>
          <w:sz w:val="24"/>
          <w:szCs w:val="24"/>
          <w:rtl/>
        </w:rPr>
        <w:t>,</w:t>
      </w:r>
      <w:r>
        <w:rPr>
          <w:rFonts w:ascii="David" w:hAnsi="David" w:cs="David"/>
          <w:color w:val="000000"/>
          <w:sz w:val="24"/>
          <w:szCs w:val="24"/>
          <w:rtl/>
        </w:rPr>
        <w:t xml:space="preserve"> האיש לא הביא ראייה כלשהי בתמיכה לטענתו כי נאלץ לעזוב את בית המגורים בעקבות תלונות שווא שהגישה האישה. בנוסף, עיון בבקשה למתן צו ההגנה שהוגשה במסגרת ההליכים המשפטיים שהתנהלו בין הצדדים מעלה, כי האיש ובת זוגו הם שהגישו את הבקשה כנגד האישה. במסגרת הדיון במעמד הצדדים הגיעו הצדדים להסכמה להרחקה הדדית האחד מהשנייה, לרבות מכתובת המגורים בה התגוררו – כאשר האישה מתגוררת בבית הצדדים (ראו: פרוטוקול הדיון מיום 5.7.2018 במסגרת ה"ט 4868-07-18). אף בחקירתו אישר זאת האיש (ראו: בעמ' 71 לפרוטוקול הדיון מיום 27.5.21).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tabs>
          <w:tab w:val="left" w:pos="8306"/>
        </w:tabs>
        <w:spacing w:line="360" w:lineRule="auto"/>
        <w:jc w:val="both"/>
        <w:rPr>
          <w:rFonts w:ascii="David" w:hAnsi="David" w:cs="David"/>
          <w:sz w:val="24"/>
          <w:szCs w:val="24"/>
          <w:rtl/>
        </w:rPr>
      </w:pPr>
      <w:r>
        <w:rPr>
          <w:rFonts w:ascii="David" w:hAnsi="David" w:cs="David"/>
          <w:b/>
          <w:bCs/>
          <w:color w:val="000000"/>
          <w:sz w:val="24"/>
          <w:szCs w:val="24"/>
          <w:u w:val="single"/>
          <w:rtl/>
        </w:rPr>
        <w:t>שנית</w:t>
      </w:r>
      <w:r>
        <w:rPr>
          <w:rFonts w:ascii="David" w:hAnsi="David" w:cs="David"/>
          <w:b/>
          <w:bCs/>
          <w:color w:val="000000"/>
          <w:sz w:val="24"/>
          <w:szCs w:val="24"/>
          <w:rtl/>
        </w:rPr>
        <w:t>,</w:t>
      </w:r>
      <w:r>
        <w:rPr>
          <w:rFonts w:ascii="David" w:hAnsi="David" w:cs="David"/>
          <w:color w:val="000000"/>
          <w:sz w:val="24"/>
          <w:szCs w:val="24"/>
          <w:rtl/>
        </w:rPr>
        <w:t xml:space="preserve"> כפי שצוין בסיכומי הצדדים, הצדדים טרם התגרשו. האיש לא טען וממילא אף לא הוכיח כי חויבו להתגרש. יתרה מכך, האישה צירפה לתצהירה פסק דין חלקי מיום 9.12.2019 מאת בית הדין הרבני, במסגרתו נקבע בין היתר כדלקמן:</w:t>
      </w:r>
    </w:p>
    <w:p w:rsidR="00014375" w:rsidRDefault="00014375" w:rsidP="00014375">
      <w:pPr>
        <w:pStyle w:val="ad"/>
        <w:rPr>
          <w:rFonts w:ascii="David" w:hAnsi="David" w:cs="David"/>
          <w:sz w:val="24"/>
          <w:szCs w:val="24"/>
        </w:rPr>
      </w:pPr>
    </w:p>
    <w:p w:rsidR="00014375" w:rsidRDefault="00014375" w:rsidP="00014375">
      <w:pPr>
        <w:pStyle w:val="ad"/>
        <w:tabs>
          <w:tab w:val="left" w:pos="8306"/>
        </w:tabs>
        <w:spacing w:line="360" w:lineRule="auto"/>
        <w:jc w:val="both"/>
        <w:rPr>
          <w:rFonts w:ascii="David" w:hAnsi="David" w:cs="David"/>
          <w:sz w:val="24"/>
          <w:szCs w:val="24"/>
          <w:rtl/>
        </w:rPr>
      </w:pPr>
      <w:r>
        <w:rPr>
          <w:rFonts w:ascii="David" w:hAnsi="David" w:cs="David"/>
          <w:color w:val="000000"/>
          <w:sz w:val="24"/>
          <w:szCs w:val="24"/>
          <w:rtl/>
        </w:rPr>
        <w:t xml:space="preserve">"... יש לדחות את תביעת הגירושין של הבעל, הבעל לא הוכיח כל עילת גירושין ולנוכח העובדה שהוא אשר עזב את הבית עליו נטל ההוכחה לסיבת עזיבתו את הבית ומרידתו באשתו. יתרה מכך, לאחר שהבעל הודה שיש לו קשר זוגי עם אשה זרה (קשר שהוסתר </w:t>
      </w:r>
      <w:r>
        <w:rPr>
          <w:rFonts w:ascii="David" w:hAnsi="David" w:cs="David"/>
          <w:color w:val="000000"/>
          <w:sz w:val="24"/>
          <w:szCs w:val="24"/>
          <w:rtl/>
        </w:rPr>
        <w:lastRenderedPageBreak/>
        <w:t xml:space="preserve">מהאישה ואשר לגביו שיקר בביה"ד במצח נחושה...) הרי שנתגלה סודו, סוד עזיבת הבית, ולכן יש לדחות את תביעת הגירושין על הסף..." (ראו נספח 5 לתצהיר האישה).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tabs>
          <w:tab w:val="left" w:pos="8306"/>
        </w:tabs>
        <w:spacing w:line="360" w:lineRule="auto"/>
        <w:jc w:val="both"/>
        <w:rPr>
          <w:rFonts w:ascii="David" w:hAnsi="David" w:cs="David"/>
          <w:sz w:val="24"/>
          <w:szCs w:val="24"/>
          <w:rtl/>
        </w:rPr>
      </w:pPr>
      <w:r>
        <w:rPr>
          <w:rFonts w:ascii="David" w:hAnsi="David" w:cs="David"/>
          <w:b/>
          <w:bCs/>
          <w:color w:val="000000"/>
          <w:sz w:val="24"/>
          <w:szCs w:val="24"/>
          <w:u w:val="single"/>
          <w:rtl/>
        </w:rPr>
        <w:t>שלישית</w:t>
      </w:r>
      <w:r>
        <w:rPr>
          <w:rFonts w:ascii="David" w:hAnsi="David" w:cs="David"/>
          <w:b/>
          <w:bCs/>
          <w:color w:val="000000"/>
          <w:sz w:val="24"/>
          <w:szCs w:val="24"/>
          <w:rtl/>
        </w:rPr>
        <w:t>,</w:t>
      </w:r>
      <w:r>
        <w:rPr>
          <w:rFonts w:ascii="David" w:hAnsi="David" w:cs="David"/>
          <w:color w:val="000000"/>
          <w:sz w:val="24"/>
          <w:szCs w:val="24"/>
          <w:rtl/>
        </w:rPr>
        <w:t xml:space="preserve"> האיש לא הגיש תביעה לפירוק השיתוף בדירה, וזאת על אף האמור בפסק הדין שניתן על ידי בית המשפט המחוזי </w:t>
      </w:r>
      <w:r>
        <w:rPr>
          <w:rFonts w:ascii="David" w:hAnsi="David" w:cs="David"/>
          <w:sz w:val="24"/>
          <w:szCs w:val="24"/>
          <w:rtl/>
        </w:rPr>
        <w:t xml:space="preserve">בתיק רמ"ש 50180-07-20, מיום 26.11.20, להלן: </w:t>
      </w:r>
      <w:r>
        <w:rPr>
          <w:rFonts w:ascii="David" w:hAnsi="David" w:cs="David"/>
          <w:b/>
          <w:bCs/>
          <w:sz w:val="24"/>
          <w:szCs w:val="24"/>
          <w:rtl/>
        </w:rPr>
        <w:t>"פסק הדין"</w:t>
      </w:r>
      <w:r>
        <w:rPr>
          <w:rFonts w:ascii="David" w:hAnsi="David" w:cs="David"/>
          <w:sz w:val="24"/>
          <w:szCs w:val="24"/>
          <w:rtl/>
        </w:rPr>
        <w:t xml:space="preserve">).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tabs>
          <w:tab w:val="left" w:pos="8306"/>
        </w:tabs>
        <w:spacing w:line="360" w:lineRule="auto"/>
        <w:jc w:val="both"/>
        <w:rPr>
          <w:rFonts w:ascii="David" w:hAnsi="David" w:cs="David"/>
          <w:sz w:val="24"/>
          <w:szCs w:val="24"/>
          <w:rtl/>
        </w:rPr>
      </w:pPr>
      <w:r>
        <w:rPr>
          <w:rFonts w:ascii="David" w:hAnsi="David" w:cs="David"/>
          <w:sz w:val="24"/>
          <w:szCs w:val="24"/>
          <w:rtl/>
        </w:rPr>
        <w:t xml:space="preserve">ובמה דברים אמורים? ביום 23.6.20 ניתן צו לפירוק השיתוף בבית הצדדים, במסגרת תביעת האישה לאיזון משאבים ופירוק השיתוף (ראו החלטת כב' השופטת מירית פולוס בתיק 22247-02-18).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tabs>
          <w:tab w:val="left" w:pos="8306"/>
        </w:tabs>
        <w:spacing w:line="360" w:lineRule="auto"/>
        <w:jc w:val="both"/>
        <w:rPr>
          <w:rFonts w:ascii="David" w:hAnsi="David" w:cs="David"/>
          <w:sz w:val="24"/>
          <w:szCs w:val="24"/>
          <w:rtl/>
        </w:rPr>
      </w:pPr>
      <w:r>
        <w:rPr>
          <w:rFonts w:ascii="David" w:hAnsi="David" w:cs="David"/>
          <w:sz w:val="24"/>
          <w:szCs w:val="24"/>
          <w:rtl/>
        </w:rPr>
        <w:t xml:space="preserve">האישה הגישה בקשת רשות ערעור לבית המשפט המחוזי, אשר נעתר לבקשה, וביטל את החלטת בית המשפט לפירוק השיתוף בבית הצדדים. במסגרת פסק הדין נקבע, בין היתר, כי האישה עתרה בתביעתה לאיזון כולל של כל הזכויות ולא לפירוק שיתוף לפי חוק המקרקעין, וטענה כי ברצונה לרכוש את חלקו את האיש בבית הצדדים כנגד כספי האיזון, בעוד האיש לא הגיש מטעמו תביעה לפירוק השיתוף. עוד נקבע בפסק הדין, כי אין מניעה שהאיש יגיש בשלב זה תביעה לפירוק שיתוף וטענות הצדדים שמורות להם.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tabs>
          <w:tab w:val="left" w:pos="8306"/>
        </w:tabs>
        <w:spacing w:line="360" w:lineRule="auto"/>
        <w:jc w:val="both"/>
        <w:rPr>
          <w:rFonts w:ascii="David" w:hAnsi="David" w:cs="David"/>
          <w:sz w:val="24"/>
          <w:szCs w:val="24"/>
          <w:rtl/>
        </w:rPr>
      </w:pPr>
      <w:r>
        <w:rPr>
          <w:rFonts w:ascii="David" w:hAnsi="David" w:cs="David"/>
          <w:sz w:val="24"/>
          <w:szCs w:val="24"/>
          <w:rtl/>
        </w:rPr>
        <w:t xml:space="preserve">בענייננו, אין חולק כי על אף האמור בפסק הדין ועל אף דברי ב"כ האיש הן בדיון שהתקיים בפני בית המשפט המחוזי (ראו בעמ' 2 שורות 7-12 לפרוטוקול מיום 26.11.20), והן בדיון שהתקיים בבית משפט זה (ראו פרוטוקול הדיון מיום 26.11.20 שורות 13-16), האיש לא מצא לנכון להגיש תביעה לפירוק השיתוף בבית המגורים. בהתאם לכך, לא ניתנה כל החלטה לפירוק השיתוף בבית הצדדים (ויובהר כי תביעת האיש לדמי שימוש ראויים הוגשה בטרם ניתן פסק הדין על ידי בית המשפט המחוזי).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tabs>
          <w:tab w:val="left" w:pos="8306"/>
        </w:tabs>
        <w:spacing w:line="360" w:lineRule="auto"/>
        <w:jc w:val="both"/>
        <w:rPr>
          <w:rFonts w:ascii="David" w:hAnsi="David" w:cs="David"/>
          <w:sz w:val="24"/>
          <w:szCs w:val="24"/>
          <w:rtl/>
        </w:rPr>
      </w:pPr>
      <w:r>
        <w:rPr>
          <w:rFonts w:ascii="David" w:hAnsi="David" w:cs="David"/>
          <w:b/>
          <w:bCs/>
          <w:sz w:val="24"/>
          <w:szCs w:val="24"/>
          <w:u w:val="single"/>
          <w:rtl/>
        </w:rPr>
        <w:t>רביעית,</w:t>
      </w:r>
      <w:r>
        <w:rPr>
          <w:rFonts w:ascii="David" w:hAnsi="David" w:cs="David"/>
          <w:sz w:val="24"/>
          <w:szCs w:val="24"/>
          <w:rtl/>
        </w:rPr>
        <w:t xml:space="preserve"> בהחלטת בית המשפט למזונות זמניים נקבע, כי האיש לא יישא בתוספת תשלום עבור רכיב המדור, וזאת מאחר והאישה מתגוררת עם הקטינים בבית המגורים. נקבע כי על האישה לשאת במלוא הוצאות אחזקת המדור. כמו כן נקבע, כי כל צד יישא במחצית מתשלום הוצאות המשכנתא (ראו החלטת כב' השופטת מירית פולוס מיום 23.6.20). דהיינו, העובדה כי האישה מתגוררת עם קטינים בבית הצדדים באה לידי ביטוי אף בסכום המזונות שהיה על האיש לשלם, וזאת בלי קשר לתשלומי המשכנתא אשר הוטלו על שני הצדדים בשל היותם בעלים של הנכס.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tabs>
          <w:tab w:val="left" w:pos="8306"/>
        </w:tabs>
        <w:spacing w:line="360" w:lineRule="auto"/>
        <w:jc w:val="both"/>
        <w:rPr>
          <w:rFonts w:ascii="David" w:hAnsi="David" w:cs="David"/>
          <w:sz w:val="24"/>
          <w:szCs w:val="24"/>
          <w:rtl/>
        </w:rPr>
      </w:pPr>
      <w:r>
        <w:rPr>
          <w:rFonts w:ascii="David" w:hAnsi="David" w:cs="David"/>
          <w:sz w:val="24"/>
          <w:szCs w:val="24"/>
          <w:rtl/>
        </w:rPr>
        <w:t xml:space="preserve">מן המקובץ עולה, כי האישה לא מנעה את חזרתו של האיש לבית הצדדים (גם אם העדיפה שיישאר מחוץ לבית), וכי למעשה כל אחד מהצדדים בנה את חייו בנפרד. </w:t>
      </w:r>
      <w:r>
        <w:rPr>
          <w:rFonts w:ascii="David" w:hAnsi="David" w:cs="David"/>
          <w:color w:val="000000"/>
          <w:sz w:val="24"/>
          <w:szCs w:val="24"/>
          <w:rtl/>
        </w:rPr>
        <w:t xml:space="preserve">האישה התגוררה </w:t>
      </w:r>
      <w:r>
        <w:rPr>
          <w:rFonts w:ascii="David" w:hAnsi="David" w:cs="David"/>
          <w:color w:val="000000"/>
          <w:sz w:val="24"/>
          <w:szCs w:val="24"/>
          <w:rtl/>
        </w:rPr>
        <w:lastRenderedPageBreak/>
        <w:t>בבית הצדדים עם ששת ילדי הצדדים, והצדדים טרם התגרשו. כמו כן, במסגרת בירור תביעתה של האישה לאיזון המשאבים הוגשה חוות דעת המומחה אשר בחן את זכויות הצדדים וחובותיהם, המומחה נחקר ולאחר מכן הגיש חוות דעת מתוקנת, ומשכך לא מצאתי כי בשלה העת קודם לכן לעריכת איזון המשאבים. משהאיש לא הגיש תביעה לפירוק שיתוף כאמור לעיל, הרי שלא היה מקום לפרק את השיתוף בבית הצדדים קודם לכן.</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tabs>
          <w:tab w:val="left" w:pos="8306"/>
        </w:tabs>
        <w:spacing w:line="360" w:lineRule="auto"/>
        <w:jc w:val="both"/>
        <w:rPr>
          <w:rFonts w:ascii="David" w:hAnsi="David" w:cs="David"/>
          <w:sz w:val="24"/>
          <w:szCs w:val="24"/>
          <w:rtl/>
        </w:rPr>
      </w:pPr>
      <w:r>
        <w:rPr>
          <w:rFonts w:ascii="David" w:hAnsi="David" w:cs="David"/>
          <w:color w:val="000000"/>
          <w:sz w:val="24"/>
          <w:szCs w:val="24"/>
          <w:rtl/>
        </w:rPr>
        <w:t xml:space="preserve">לפיכך, לא מצאתי לחייב את האישה בדמי שימוש ראויים עבור מגוריה בבית הצדדים יחד עם הקטינים. ואולם, להשלמת התמונה יצוין כי העובדה שהאישה מתגוררת בבית הצדדים עם הקטינים ללא תשלום דמי שימוש נלקחה בחשבון במסגרת החלטתי לעניין מזונות האישה והקטינים, כמפורט בהמשך. </w:t>
      </w:r>
    </w:p>
    <w:p w:rsidR="00014375" w:rsidRDefault="00014375" w:rsidP="00014375">
      <w:pPr>
        <w:pStyle w:val="ad"/>
        <w:spacing w:line="360" w:lineRule="auto"/>
        <w:jc w:val="both"/>
        <w:rPr>
          <w:rFonts w:ascii="David" w:hAnsi="David" w:cs="David"/>
          <w:sz w:val="24"/>
          <w:szCs w:val="24"/>
        </w:rPr>
      </w:pPr>
    </w:p>
    <w:p w:rsidR="00014375" w:rsidRDefault="00014375" w:rsidP="00014375">
      <w:pPr>
        <w:spacing w:line="360" w:lineRule="auto"/>
        <w:jc w:val="both"/>
        <w:rPr>
          <w:rFonts w:ascii="David" w:hAnsi="David"/>
          <w:b/>
          <w:bCs/>
          <w:u w:val="single"/>
        </w:rPr>
      </w:pPr>
      <w:r>
        <w:rPr>
          <w:rFonts w:ascii="David" w:hAnsi="David"/>
          <w:b/>
          <w:bCs/>
          <w:u w:val="single"/>
          <w:rtl/>
        </w:rPr>
        <w:t>תביעת מזונות הקטינים</w:t>
      </w:r>
    </w:p>
    <w:p w:rsidR="00014375" w:rsidRDefault="00014375" w:rsidP="00014375">
      <w:pPr>
        <w:pStyle w:val="ad"/>
        <w:rPr>
          <w:rFonts w:ascii="David" w:hAnsi="David" w:cs="David"/>
          <w:b/>
          <w:bCs/>
          <w:sz w:val="24"/>
          <w:szCs w:val="24"/>
          <w:u w:val="single"/>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במסגרת ההחלטה למזונות זמניים מיום 25.2.18 נקבע, כי האיש יישא בתשלום מזונות בסך 1,000 ₪ לחודש עבור כל קטין, ובסה"כ 4,000 ₪ לחודש. כמו כן נקבע, כי האיש ימשיך לשאת במלוא החזר המשכנתא ודמי אחזקת המדור – מים , חשמל, ארנונה וגז. בנוסף נקבע כי האיש יישא בתשלום דמי מזונות עבור שתי הבנות הבגירות בסך 500 ₪ לחודש עבור כל אחת, ובסה"כ 1,000 ₪ לחודש. עוד נקבע, כי כל אחד מהצדדים יישא בתשלום מחצית מהוצאות החינוך והוצאות הרפואה החריגות של הקטינים (ראו החלטת כב' השופטת מירית פולוס מיום 25.2.18).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בהחלטה מיום 23.6.20 נקבע, כי האיש ישלם עבור מזונות הקטינים סך 1,900 ₪ לכל קטין, וכי החיוב עבור שתי הבנות הבגירות ייפסק, נוכח שחרורן משירות צבאי. כמו כן נקבע, כי כל צד יישא במחצית מהוצאות המשכנתא, וכי מאחר והאישה מתגוררת עם הקטינים בבית המגורים, הסכום שנקבע למזונות כולל את חלקו של האיש בהוצאות אחזקת המדור, ולפיכך על האישה לשאת במלוא הוצאות אחזקת המדור. </w:t>
      </w:r>
    </w:p>
    <w:p w:rsidR="00014375" w:rsidRDefault="00014375" w:rsidP="00014375">
      <w:pPr>
        <w:pStyle w:val="ad"/>
        <w:rPr>
          <w:rFonts w:ascii="David" w:hAnsi="David" w:cs="David"/>
          <w:sz w:val="24"/>
          <w:szCs w:val="24"/>
        </w:rPr>
      </w:pPr>
    </w:p>
    <w:p w:rsidR="00014375" w:rsidRDefault="00014375" w:rsidP="00014375">
      <w:pPr>
        <w:pStyle w:val="ad"/>
        <w:spacing w:line="360" w:lineRule="auto"/>
        <w:ind w:left="644"/>
        <w:jc w:val="both"/>
        <w:rPr>
          <w:rFonts w:ascii="David" w:hAnsi="David" w:cs="David"/>
          <w:sz w:val="24"/>
          <w:szCs w:val="24"/>
          <w:rtl/>
        </w:rPr>
      </w:pPr>
      <w:r>
        <w:rPr>
          <w:rFonts w:ascii="David" w:hAnsi="David" w:cs="David"/>
          <w:sz w:val="24"/>
          <w:szCs w:val="24"/>
          <w:rtl/>
        </w:rPr>
        <w:t xml:space="preserve">עוד נקבע, כי נוכח פערי ההשתכרות בין הצדדים, האב ישלם 70 אחוז מהוצאות החינוך והרפואה החריגות והאם 30 אחוז מההוצאות (ראו החלטת כב' השופטת מירית פולוס מיום 23.6.20).  </w:t>
      </w:r>
    </w:p>
    <w:p w:rsidR="00014375" w:rsidRDefault="00014375" w:rsidP="00014375">
      <w:pPr>
        <w:pStyle w:val="ad"/>
        <w:rPr>
          <w:rFonts w:ascii="David" w:hAnsi="David" w:cs="David"/>
          <w:sz w:val="24"/>
          <w:szCs w:val="24"/>
        </w:rPr>
      </w:pPr>
    </w:p>
    <w:p w:rsidR="00014375" w:rsidRDefault="00014375" w:rsidP="00014375">
      <w:pPr>
        <w:numPr>
          <w:ilvl w:val="0"/>
          <w:numId w:val="1"/>
        </w:numPr>
        <w:spacing w:line="360" w:lineRule="auto"/>
        <w:jc w:val="both"/>
        <w:rPr>
          <w:rFonts w:ascii="David" w:hAnsi="David"/>
          <w:rtl/>
        </w:rPr>
      </w:pPr>
      <w:r>
        <w:rPr>
          <w:rFonts w:ascii="David" w:hAnsi="David"/>
          <w:rtl/>
        </w:rPr>
        <w:t xml:space="preserve">בסעיף 3 (א) לחוק לתיקון דיני המשפחה (מזונות), תשט"ו – 1959 נקבע, כי אדם חייב במזונות ילדיו הקטינים ע"פ הדין האישי החל עליו, בענייננו – הדין העברי. בבע"מ 919/15 </w:t>
      </w:r>
      <w:r>
        <w:rPr>
          <w:rFonts w:ascii="David" w:hAnsi="David"/>
          <w:b/>
          <w:bCs/>
          <w:rtl/>
        </w:rPr>
        <w:t>פלוני נ' פלונית</w:t>
      </w:r>
      <w:r>
        <w:rPr>
          <w:rFonts w:ascii="David" w:hAnsi="David"/>
          <w:rtl/>
        </w:rPr>
        <w:t xml:space="preserve"> </w:t>
      </w:r>
      <w:r>
        <w:rPr>
          <w:rFonts w:ascii="David" w:hAnsi="David"/>
          <w:b/>
          <w:bCs/>
          <w:rtl/>
        </w:rPr>
        <w:t>ואח'</w:t>
      </w:r>
      <w:r>
        <w:rPr>
          <w:rFonts w:ascii="David" w:hAnsi="David"/>
          <w:rtl/>
        </w:rPr>
        <w:t xml:space="preserve"> (19.7.17), נקבעה הלכה לפיה החל מגיל 6 שנים החיוב במזונות הוא מדין צדקה </w:t>
      </w:r>
      <w:r>
        <w:rPr>
          <w:rFonts w:ascii="David" w:hAnsi="David"/>
          <w:rtl/>
        </w:rPr>
        <w:lastRenderedPageBreak/>
        <w:t xml:space="preserve">והוא חל במידה שווה על שני ההורים, תוך שחלוקת החיוב ביניהם תיקבע על פי יכולותיהם הכלכליות היחסיות מכלל המקורות, לרבות הכנסה משכר עבודה. </w:t>
      </w:r>
    </w:p>
    <w:p w:rsidR="00014375" w:rsidRDefault="00014375" w:rsidP="00014375">
      <w:pPr>
        <w:pStyle w:val="ad"/>
        <w:rPr>
          <w:rFonts w:ascii="David" w:hAnsi="David" w:cs="David"/>
          <w:sz w:val="24"/>
          <w:szCs w:val="24"/>
        </w:rPr>
      </w:pPr>
    </w:p>
    <w:p w:rsidR="00014375" w:rsidRDefault="00014375" w:rsidP="00014375">
      <w:pPr>
        <w:numPr>
          <w:ilvl w:val="0"/>
          <w:numId w:val="1"/>
        </w:numPr>
        <w:spacing w:line="360" w:lineRule="auto"/>
        <w:jc w:val="both"/>
        <w:rPr>
          <w:rFonts w:ascii="David" w:hAnsi="David"/>
        </w:rPr>
      </w:pPr>
      <w:r>
        <w:rPr>
          <w:rFonts w:ascii="David" w:hAnsi="David"/>
          <w:rtl/>
        </w:rPr>
        <w:t xml:space="preserve">הסוגיה שהובאה לפתחו של ביהמ"ש העליון בבע"מ 919/15 הינה חלוקת נטל חיוב המזונות בין הורים יהודים במקרה של משמורת משותפת, אולם בהתאם לפסיקה, יש ליישם את עקרונות הבע"מ בכל מקרה בו דנים במזונות ילד מעל גיל 6 (עמש (33549-04-16 </w:t>
      </w:r>
      <w:r>
        <w:rPr>
          <w:rFonts w:ascii="David" w:hAnsi="David"/>
          <w:b/>
          <w:bCs/>
          <w:rtl/>
        </w:rPr>
        <w:t>פלוני נ' פלונית,</w:t>
      </w:r>
      <w:r>
        <w:rPr>
          <w:rFonts w:ascii="David" w:hAnsi="David"/>
          <w:rtl/>
        </w:rPr>
        <w:t xml:space="preserve"> עמ"ש 21704-03-18 </w:t>
      </w:r>
      <w:r>
        <w:rPr>
          <w:rFonts w:ascii="David" w:hAnsi="David"/>
          <w:b/>
          <w:bCs/>
          <w:rtl/>
        </w:rPr>
        <w:t>א. ו נ' א. ו</w:t>
      </w:r>
      <w:r>
        <w:rPr>
          <w:rFonts w:ascii="David" w:hAnsi="David"/>
          <w:rtl/>
        </w:rPr>
        <w:t xml:space="preserve"> ( 11.06.2019)  עמ"ש 62263-10-17), (עמ"ש 14612-10-16 </w:t>
      </w:r>
      <w:r>
        <w:rPr>
          <w:rFonts w:ascii="David" w:hAnsi="David"/>
          <w:b/>
          <w:bCs/>
          <w:rtl/>
        </w:rPr>
        <w:t xml:space="preserve">פ.ב נ' א.ב </w:t>
      </w:r>
      <w:r>
        <w:rPr>
          <w:rFonts w:ascii="David" w:hAnsi="David"/>
          <w:rtl/>
        </w:rPr>
        <w:t>(20.12.17)).</w:t>
      </w:r>
    </w:p>
    <w:p w:rsidR="00014375" w:rsidRDefault="00014375" w:rsidP="00014375">
      <w:pPr>
        <w:pStyle w:val="ad"/>
        <w:rPr>
          <w:rFonts w:ascii="David" w:hAnsi="David" w:cs="David"/>
          <w:sz w:val="24"/>
          <w:szCs w:val="24"/>
        </w:rPr>
      </w:pPr>
    </w:p>
    <w:p w:rsidR="00014375" w:rsidRDefault="00014375" w:rsidP="00014375">
      <w:pPr>
        <w:numPr>
          <w:ilvl w:val="0"/>
          <w:numId w:val="1"/>
        </w:numPr>
        <w:spacing w:line="360" w:lineRule="auto"/>
        <w:jc w:val="both"/>
        <w:rPr>
          <w:rFonts w:ascii="David" w:hAnsi="David"/>
          <w:rtl/>
        </w:rPr>
      </w:pPr>
      <w:r>
        <w:rPr>
          <w:rFonts w:ascii="David" w:hAnsi="David"/>
          <w:rtl/>
        </w:rPr>
        <w:t xml:space="preserve">ע"פ הכללים שנקבעו בבע"מ 919/15, על הערכאה הדיונית לקבוע ממצאים עובדתיים ביחס לפרמטרים הבאים: </w:t>
      </w:r>
    </w:p>
    <w:p w:rsidR="00014375" w:rsidRDefault="00014375" w:rsidP="00014375">
      <w:pPr>
        <w:pStyle w:val="ad"/>
        <w:numPr>
          <w:ilvl w:val="2"/>
          <w:numId w:val="1"/>
        </w:numPr>
        <w:spacing w:after="0" w:line="360" w:lineRule="auto"/>
        <w:jc w:val="both"/>
        <w:rPr>
          <w:rFonts w:ascii="David" w:hAnsi="David" w:cs="David"/>
          <w:sz w:val="24"/>
          <w:szCs w:val="24"/>
        </w:rPr>
      </w:pPr>
      <w:r>
        <w:rPr>
          <w:rFonts w:ascii="David" w:hAnsi="David" w:cs="David"/>
          <w:sz w:val="24"/>
          <w:szCs w:val="24"/>
          <w:rtl/>
        </w:rPr>
        <w:t xml:space="preserve">צרכי הקטינים – גובה הצרכים תלויי השהות ובכללם מדור והוצאות מדור; צרכים שאינם תלויי שהות; הוצאות חריגות, הכל ללא הבחנה בין צרכים הכרחיים ללא הכרחיים ועל פי רמת החיים בה הורגלו ערב הפירוד. </w:t>
      </w:r>
    </w:p>
    <w:p w:rsidR="00014375" w:rsidRDefault="00014375" w:rsidP="00014375">
      <w:pPr>
        <w:numPr>
          <w:ilvl w:val="2"/>
          <w:numId w:val="1"/>
        </w:numPr>
        <w:spacing w:line="360" w:lineRule="auto"/>
        <w:contextualSpacing/>
        <w:jc w:val="both"/>
        <w:rPr>
          <w:rFonts w:ascii="David" w:hAnsi="David"/>
          <w:rtl/>
        </w:rPr>
      </w:pPr>
      <w:r>
        <w:rPr>
          <w:rFonts w:ascii="David" w:hAnsi="David"/>
          <w:rtl/>
        </w:rPr>
        <w:t xml:space="preserve">היכולות הכלכליות של ההורים – מכלל המקורות העומדים לרשותם, לרבות שכר עבודה. </w:t>
      </w:r>
    </w:p>
    <w:p w:rsidR="00014375" w:rsidRDefault="00014375" w:rsidP="00014375">
      <w:pPr>
        <w:numPr>
          <w:ilvl w:val="2"/>
          <w:numId w:val="1"/>
        </w:numPr>
        <w:spacing w:line="360" w:lineRule="auto"/>
        <w:contextualSpacing/>
        <w:jc w:val="both"/>
        <w:rPr>
          <w:rFonts w:ascii="David" w:hAnsi="David"/>
        </w:rPr>
      </w:pPr>
      <w:r>
        <w:rPr>
          <w:rFonts w:ascii="David" w:hAnsi="David"/>
          <w:rtl/>
        </w:rPr>
        <w:t xml:space="preserve">קביעת יחס היכולת הכלכלית של ההורים, ביחס לצרכים שאינם תלויי שהות ולצרכים החריגים. </w:t>
      </w:r>
    </w:p>
    <w:p w:rsidR="00014375" w:rsidRDefault="00014375" w:rsidP="00014375">
      <w:pPr>
        <w:numPr>
          <w:ilvl w:val="2"/>
          <w:numId w:val="1"/>
        </w:numPr>
        <w:spacing w:line="360" w:lineRule="auto"/>
        <w:contextualSpacing/>
        <w:jc w:val="both"/>
        <w:rPr>
          <w:rFonts w:ascii="David" w:hAnsi="David"/>
        </w:rPr>
      </w:pPr>
      <w:r>
        <w:rPr>
          <w:rFonts w:ascii="David" w:hAnsi="David"/>
          <w:rtl/>
        </w:rPr>
        <w:t xml:space="preserve">חלוקת זמני השהות בפועל – ביחס לצרכים תלויי השהות, יחד עם הנתון של היכולות הכלכליות של ההורים. </w:t>
      </w:r>
    </w:p>
    <w:p w:rsidR="00014375" w:rsidRDefault="00014375" w:rsidP="00014375">
      <w:pPr>
        <w:spacing w:line="360" w:lineRule="auto"/>
        <w:ind w:left="2160"/>
        <w:contextualSpacing/>
        <w:jc w:val="both"/>
        <w:rPr>
          <w:rFonts w:ascii="David" w:hAnsi="David"/>
        </w:rPr>
      </w:pPr>
    </w:p>
    <w:p w:rsidR="00014375" w:rsidRDefault="00014375" w:rsidP="00014375">
      <w:pPr>
        <w:numPr>
          <w:ilvl w:val="0"/>
          <w:numId w:val="1"/>
        </w:numPr>
        <w:spacing w:line="360" w:lineRule="auto"/>
        <w:jc w:val="both"/>
        <w:rPr>
          <w:rFonts w:ascii="David" w:hAnsi="David"/>
        </w:rPr>
      </w:pPr>
      <w:r>
        <w:rPr>
          <w:rFonts w:ascii="David" w:hAnsi="David"/>
          <w:rtl/>
        </w:rPr>
        <w:t xml:space="preserve">כן נפסק, כי אין מדובר בנוסחאות אריתמטיות נוקשות או הסתמכות על נתונים יבשים, והכל תלוי במכלול נסיבות העניין, כששיקול העל הוא טובת הילד ורווחתו בבתי שני הוריו. </w:t>
      </w:r>
    </w:p>
    <w:p w:rsidR="00014375" w:rsidRDefault="00014375" w:rsidP="00014375">
      <w:pPr>
        <w:spacing w:line="360" w:lineRule="auto"/>
        <w:ind w:left="1440"/>
        <w:contextualSpacing/>
        <w:jc w:val="both"/>
        <w:rPr>
          <w:rFonts w:ascii="David" w:hAnsi="David"/>
        </w:rPr>
      </w:pPr>
    </w:p>
    <w:p w:rsidR="00014375" w:rsidRDefault="00014375" w:rsidP="00014375">
      <w:pPr>
        <w:numPr>
          <w:ilvl w:val="0"/>
          <w:numId w:val="1"/>
        </w:numPr>
        <w:spacing w:line="360" w:lineRule="auto"/>
        <w:jc w:val="both"/>
        <w:rPr>
          <w:rFonts w:ascii="David" w:hAnsi="David"/>
        </w:rPr>
      </w:pPr>
      <w:r>
        <w:rPr>
          <w:rFonts w:ascii="David" w:hAnsi="David"/>
          <w:rtl/>
        </w:rPr>
        <w:t xml:space="preserve">הפסיקה קבעה כי יכולותיו של האב אינן נקבעות על יסוד הכנסותיו בלבד אלא אף בהתחשב ביכולתו הפוטנציאלית להשתכר או להגדיל השתכרות. בעניין זה כבר נפסק כי: "יכולתו של בעל (ואב) לשאת במזונות הזכאים להם, אינה נקבעת על פי הכנסתו המוגבלת והמצומצמת, אלא על פי יכולתו למצות את כישוריו ולהגדיל את הכנסתו..." (ע"א 239/85 </w:t>
      </w:r>
      <w:r>
        <w:rPr>
          <w:rFonts w:ascii="David" w:hAnsi="David"/>
          <w:b/>
          <w:bCs/>
          <w:rtl/>
        </w:rPr>
        <w:t>עמיצור נ. עמיצור</w:t>
      </w:r>
      <w:r>
        <w:rPr>
          <w:rFonts w:ascii="David" w:hAnsi="David"/>
          <w:rtl/>
        </w:rPr>
        <w:t>, פד"י מ(1) 147). כאשר מדובר בקטינים מעל גיל שש, יש להטיל חובת מיצוי פוטנציאל ההשתכרות, על שני הצדדים.</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ראשית יש לקבוע את יחס ההשתכרות שבין הצדדים, שכן יהיה בכך כדי  ללמד על השיעור אותו יהיה על כל אחד מהם לשאת בצרכי הקטינים</w:t>
      </w:r>
      <w:r>
        <w:rPr>
          <w:rFonts w:ascii="David" w:hAnsi="David" w:cs="David"/>
          <w:sz w:val="24"/>
          <w:szCs w:val="24"/>
        </w:rPr>
        <w:t>.</w:t>
      </w:r>
    </w:p>
    <w:p w:rsidR="00014375" w:rsidRDefault="00014375" w:rsidP="00014375">
      <w:pPr>
        <w:pStyle w:val="ad"/>
        <w:spacing w:line="360" w:lineRule="auto"/>
        <w:jc w:val="both"/>
        <w:rPr>
          <w:rFonts w:ascii="David" w:hAnsi="David" w:cs="David"/>
          <w:sz w:val="24"/>
          <w:szCs w:val="24"/>
        </w:rPr>
      </w:pPr>
    </w:p>
    <w:p w:rsidR="00014375" w:rsidRDefault="00014375" w:rsidP="00014375">
      <w:pPr>
        <w:pStyle w:val="ad"/>
        <w:spacing w:line="360" w:lineRule="auto"/>
        <w:ind w:left="644"/>
        <w:jc w:val="both"/>
        <w:rPr>
          <w:rFonts w:ascii="David" w:hAnsi="David" w:cs="David"/>
          <w:b/>
          <w:bCs/>
          <w:sz w:val="24"/>
          <w:szCs w:val="24"/>
        </w:rPr>
      </w:pPr>
      <w:r>
        <w:rPr>
          <w:rFonts w:ascii="David" w:hAnsi="David" w:cs="David"/>
          <w:b/>
          <w:bCs/>
          <w:sz w:val="24"/>
          <w:szCs w:val="24"/>
          <w:u w:val="single"/>
          <w:rtl/>
        </w:rPr>
        <w:t>השתכרות האישה</w:t>
      </w:r>
      <w:r>
        <w:rPr>
          <w:rFonts w:ascii="David" w:hAnsi="David" w:cs="David"/>
          <w:b/>
          <w:bCs/>
          <w:sz w:val="24"/>
          <w:szCs w:val="24"/>
          <w:rtl/>
        </w:rPr>
        <w:t xml:space="preserve">: </w:t>
      </w:r>
    </w:p>
    <w:p w:rsidR="00014375" w:rsidRDefault="00014375" w:rsidP="00014375">
      <w:pPr>
        <w:pStyle w:val="ad"/>
        <w:rPr>
          <w:rFonts w:ascii="David" w:hAnsi="David" w:cs="David"/>
          <w:sz w:val="24"/>
          <w:szCs w:val="24"/>
        </w:rPr>
      </w:pPr>
    </w:p>
    <w:p w:rsidR="00014375" w:rsidRDefault="00014375" w:rsidP="009A37A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כפי שפורט בחוות דעת המומחה, לאישה עסק </w:t>
      </w:r>
      <w:r w:rsidR="009A37A5">
        <w:rPr>
          <w:rFonts w:ascii="David" w:hAnsi="David" w:cs="David" w:hint="cs"/>
          <w:sz w:val="24"/>
          <w:szCs w:val="24"/>
          <w:rtl/>
        </w:rPr>
        <w:t xml:space="preserve">ל... </w:t>
      </w:r>
      <w:r>
        <w:rPr>
          <w:rFonts w:ascii="David" w:hAnsi="David" w:cs="David"/>
          <w:sz w:val="24"/>
          <w:szCs w:val="24"/>
          <w:rtl/>
        </w:rPr>
        <w:t>. במהלך סוף שנת 2017 רכשה האישה עסק של</w:t>
      </w:r>
      <w:r w:rsidR="003F6CC4">
        <w:rPr>
          <w:rFonts w:ascii="David" w:hAnsi="David" w:cs="David" w:hint="cs"/>
          <w:sz w:val="24"/>
          <w:szCs w:val="24"/>
          <w:rtl/>
        </w:rPr>
        <w:t xml:space="preserve"> ... </w:t>
      </w:r>
      <w:r>
        <w:rPr>
          <w:rFonts w:ascii="David" w:hAnsi="David" w:cs="David"/>
          <w:sz w:val="24"/>
          <w:szCs w:val="24"/>
          <w:rtl/>
        </w:rPr>
        <w:t xml:space="preserve">. בחוות הדעת צוין, כי לטענת האישה העסק אינו מופעל עדיין באופן סביר, וזאת משום שאין לה אפשרויות מימון הנדרשות להרצת עסק חדש. ואולם הובהר בחוות הדעת כי האישה השקיעה בעסק סך של כ-150,000 ₪, מהם שולמו עד למועד הקובע 126,000 ₪. עוד צוין כי חלק מעלויות רכישת העסק מומן בהלוואות, אשר נכללו באיזון המשאבים (ראו: בעמ' 18 לחוות הדעת מיום 10.6.21).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לפי חוות הדעת, העסק של האישה מניב הכנסות בסך של כ-7,000 ₪ ברוטו לחודש לשנת 2018 (ראו: בעמ' 19 לחוות דעת המומחה מיום 10.6.21). </w:t>
      </w:r>
    </w:p>
    <w:p w:rsidR="00014375" w:rsidRDefault="00014375" w:rsidP="00014375">
      <w:pPr>
        <w:pStyle w:val="ad"/>
        <w:rPr>
          <w:rFonts w:ascii="David" w:hAnsi="David" w:cs="David"/>
          <w:sz w:val="24"/>
          <w:szCs w:val="24"/>
        </w:rPr>
      </w:pPr>
    </w:p>
    <w:p w:rsidR="00014375" w:rsidRDefault="00014375" w:rsidP="003F6CC4">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בחקירתה טענה האישה, כי החל משנת 2019 העבירה את העסק לממכר </w:t>
      </w:r>
      <w:r w:rsidR="003F6CC4">
        <w:rPr>
          <w:rFonts w:ascii="David" w:hAnsi="David" w:cs="David" w:hint="cs"/>
          <w:sz w:val="24"/>
          <w:szCs w:val="24"/>
          <w:rtl/>
        </w:rPr>
        <w:t>...</w:t>
      </w:r>
      <w:r>
        <w:rPr>
          <w:rFonts w:ascii="David" w:hAnsi="David" w:cs="David"/>
          <w:sz w:val="24"/>
          <w:szCs w:val="24"/>
          <w:rtl/>
        </w:rPr>
        <w:t xml:space="preserve"> מבית הצדדים וכיום שוכר</w:t>
      </w:r>
      <w:r w:rsidR="00A76C45">
        <w:rPr>
          <w:rFonts w:ascii="David" w:hAnsi="David" w:cs="David"/>
          <w:sz w:val="24"/>
          <w:szCs w:val="24"/>
          <w:rtl/>
        </w:rPr>
        <w:t>ת לצורך כך מקום בעיר</w:t>
      </w:r>
      <w:r w:rsidR="00A76C45">
        <w:rPr>
          <w:rFonts w:ascii="David" w:hAnsi="David" w:cs="David" w:hint="cs"/>
          <w:sz w:val="24"/>
          <w:szCs w:val="24"/>
          <w:rtl/>
        </w:rPr>
        <w:t xml:space="preserve"> .....</w:t>
      </w:r>
      <w:r>
        <w:rPr>
          <w:rFonts w:ascii="David" w:hAnsi="David" w:cs="David"/>
          <w:sz w:val="24"/>
          <w:szCs w:val="24"/>
          <w:rtl/>
        </w:rPr>
        <w:t xml:space="preserve"> (ראו: בעמ' 2 לפרוטוקול הדיון מיום 26.5.21).  כמו כן, האישה הודתה כי</w:t>
      </w:r>
      <w:r w:rsidR="003F6CC4">
        <w:rPr>
          <w:rFonts w:ascii="David" w:hAnsi="David" w:cs="David"/>
          <w:sz w:val="24"/>
          <w:szCs w:val="24"/>
          <w:rtl/>
        </w:rPr>
        <w:t xml:space="preserve"> כיום מנהלת את שני העסקים: עסק </w:t>
      </w:r>
      <w:r w:rsidR="003F6CC4">
        <w:rPr>
          <w:rFonts w:ascii="David" w:hAnsi="David" w:cs="David" w:hint="cs"/>
          <w:sz w:val="24"/>
          <w:szCs w:val="24"/>
          <w:rtl/>
        </w:rPr>
        <w:t>...</w:t>
      </w:r>
      <w:r w:rsidR="003F6CC4">
        <w:rPr>
          <w:rFonts w:ascii="David" w:hAnsi="David" w:cs="David"/>
          <w:sz w:val="24"/>
          <w:szCs w:val="24"/>
          <w:rtl/>
        </w:rPr>
        <w:t xml:space="preserve"> והעסק של</w:t>
      </w:r>
      <w:r w:rsidR="003F6CC4">
        <w:rPr>
          <w:rFonts w:ascii="David" w:hAnsi="David" w:cs="David" w:hint="cs"/>
          <w:sz w:val="24"/>
          <w:szCs w:val="24"/>
          <w:rtl/>
        </w:rPr>
        <w:t xml:space="preserve"> .. </w:t>
      </w:r>
      <w:r>
        <w:rPr>
          <w:rFonts w:ascii="David" w:hAnsi="David" w:cs="David"/>
          <w:sz w:val="24"/>
          <w:szCs w:val="24"/>
          <w:rtl/>
        </w:rPr>
        <w:t xml:space="preserve">. לפי טענת האישה בתצהירה, הרווח לשנת 2019 עמד ע"ס 2,000 ₪ לחודש, ואילו לשנת 2020 הרווח הוא כ-10,000 ₪ לחודש (ראו: סעיף 28 לתצהיר האישה וכן נספח 23 לתצהיר). </w:t>
      </w:r>
    </w:p>
    <w:p w:rsidR="00014375" w:rsidRDefault="00014375" w:rsidP="00014375">
      <w:pPr>
        <w:pStyle w:val="ad"/>
        <w:rPr>
          <w:rFonts w:ascii="David" w:hAnsi="David" w:cs="David"/>
          <w:sz w:val="24"/>
          <w:szCs w:val="24"/>
        </w:rPr>
      </w:pPr>
    </w:p>
    <w:p w:rsidR="00014375" w:rsidRDefault="00014375" w:rsidP="004A678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האיש צירף פרסומים רבים והזמנות עבודה של עסקי האישה, אותם פרסמה ברשתות החברתיות. עיון בפרסומים אלו מעלה כי עסק </w:t>
      </w:r>
      <w:r w:rsidR="004A678B">
        <w:rPr>
          <w:rFonts w:ascii="David" w:hAnsi="David" w:cs="David" w:hint="cs"/>
          <w:sz w:val="24"/>
          <w:szCs w:val="24"/>
          <w:rtl/>
        </w:rPr>
        <w:t>...</w:t>
      </w:r>
      <w:r>
        <w:rPr>
          <w:rFonts w:ascii="David" w:hAnsi="David" w:cs="David"/>
          <w:sz w:val="24"/>
          <w:szCs w:val="24"/>
          <w:rtl/>
        </w:rPr>
        <w:t xml:space="preserve"> של האישה כולל "תפאורה </w:t>
      </w:r>
      <w:r w:rsidR="004A678B">
        <w:rPr>
          <w:rFonts w:ascii="David" w:hAnsi="David" w:cs="David" w:hint="cs"/>
          <w:sz w:val="24"/>
          <w:szCs w:val="24"/>
          <w:rtl/>
        </w:rPr>
        <w:t>...</w:t>
      </w:r>
      <w:r>
        <w:rPr>
          <w:rFonts w:ascii="David" w:hAnsi="David" w:cs="David"/>
          <w:sz w:val="24"/>
          <w:szCs w:val="24"/>
          <w:rtl/>
        </w:rPr>
        <w:t xml:space="preserve"> במגוון רחב, מעל 400 תלבושות, שולחנות </w:t>
      </w:r>
      <w:r w:rsidR="004A678B">
        <w:rPr>
          <w:rFonts w:ascii="David" w:hAnsi="David" w:cs="David" w:hint="cs"/>
          <w:sz w:val="24"/>
          <w:szCs w:val="24"/>
          <w:rtl/>
        </w:rPr>
        <w:t>...</w:t>
      </w:r>
      <w:r>
        <w:rPr>
          <w:rFonts w:ascii="David" w:hAnsi="David" w:cs="David"/>
          <w:sz w:val="24"/>
          <w:szCs w:val="24"/>
          <w:rtl/>
        </w:rPr>
        <w:t xml:space="preserve"> ועוד.." (ראו: נספח ג' לתצהיר האיש).</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כמו כן, האיש צירף לתצהירו את פרוטוקול הדיון שהתקיים בבית הדין הרבני מיום 29.4.19, במסגרתו טענה האישה כי</w:t>
      </w:r>
      <w:r w:rsidR="00A76C45">
        <w:rPr>
          <w:rFonts w:ascii="David" w:hAnsi="David" w:cs="David"/>
          <w:sz w:val="24"/>
          <w:szCs w:val="24"/>
          <w:rtl/>
        </w:rPr>
        <w:t xml:space="preserve"> בבעלותה שני עסקים –</w:t>
      </w:r>
      <w:r w:rsidR="00A76C45">
        <w:rPr>
          <w:rFonts w:ascii="David" w:hAnsi="David" w:cs="David" w:hint="cs"/>
          <w:sz w:val="24"/>
          <w:szCs w:val="24"/>
          <w:rtl/>
        </w:rPr>
        <w:t xml:space="preserve"> ...... ו .......</w:t>
      </w:r>
      <w:r>
        <w:rPr>
          <w:rFonts w:ascii="David" w:hAnsi="David" w:cs="David"/>
          <w:sz w:val="24"/>
          <w:szCs w:val="24"/>
          <w:rtl/>
        </w:rPr>
        <w:t>:</w:t>
      </w:r>
    </w:p>
    <w:p w:rsidR="00014375" w:rsidRDefault="00014375" w:rsidP="00014375">
      <w:pPr>
        <w:pStyle w:val="ad"/>
        <w:rPr>
          <w:rFonts w:ascii="David" w:hAnsi="David" w:cs="David"/>
          <w:sz w:val="24"/>
          <w:szCs w:val="24"/>
        </w:rPr>
      </w:pPr>
    </w:p>
    <w:p w:rsidR="00014375" w:rsidRDefault="00014375" w:rsidP="00014375">
      <w:pPr>
        <w:pStyle w:val="ad"/>
        <w:spacing w:line="360" w:lineRule="auto"/>
        <w:jc w:val="both"/>
        <w:rPr>
          <w:rFonts w:ascii="David" w:hAnsi="David" w:cs="David"/>
          <w:b/>
          <w:bCs/>
          <w:sz w:val="24"/>
          <w:szCs w:val="24"/>
          <w:rtl/>
        </w:rPr>
      </w:pPr>
      <w:r>
        <w:rPr>
          <w:rFonts w:ascii="David" w:hAnsi="David" w:cs="David"/>
          <w:b/>
          <w:bCs/>
          <w:sz w:val="24"/>
          <w:szCs w:val="24"/>
          <w:rtl/>
        </w:rPr>
        <w:t>ש. דיברת על 22,000 ₪ זה משני העסקים?</w:t>
      </w:r>
    </w:p>
    <w:p w:rsidR="00014375" w:rsidRDefault="00014375" w:rsidP="00014375">
      <w:pPr>
        <w:pStyle w:val="ad"/>
        <w:spacing w:line="360" w:lineRule="auto"/>
        <w:jc w:val="both"/>
        <w:rPr>
          <w:rFonts w:ascii="David" w:hAnsi="David" w:cs="David"/>
          <w:b/>
          <w:bCs/>
          <w:sz w:val="24"/>
          <w:szCs w:val="24"/>
        </w:rPr>
      </w:pPr>
      <w:r>
        <w:rPr>
          <w:rFonts w:ascii="David" w:hAnsi="David" w:cs="David"/>
          <w:b/>
          <w:bCs/>
          <w:sz w:val="24"/>
          <w:szCs w:val="24"/>
          <w:rtl/>
        </w:rPr>
        <w:t>ת. כן, לפני הוצאות</w:t>
      </w:r>
    </w:p>
    <w:p w:rsidR="00014375" w:rsidRDefault="00014375" w:rsidP="00014375">
      <w:pPr>
        <w:pStyle w:val="ad"/>
        <w:spacing w:line="360" w:lineRule="auto"/>
        <w:jc w:val="both"/>
        <w:rPr>
          <w:rFonts w:ascii="David" w:hAnsi="David" w:cs="David"/>
          <w:b/>
          <w:bCs/>
          <w:sz w:val="24"/>
          <w:szCs w:val="24"/>
        </w:rPr>
      </w:pPr>
      <w:r>
        <w:rPr>
          <w:rFonts w:ascii="David" w:hAnsi="David" w:cs="David"/>
          <w:b/>
          <w:bCs/>
          <w:sz w:val="24"/>
          <w:szCs w:val="24"/>
          <w:rtl/>
        </w:rPr>
        <w:t>ש. איך קוראים לעסקים?</w:t>
      </w:r>
    </w:p>
    <w:p w:rsidR="00014375" w:rsidRDefault="004A678B" w:rsidP="00014375">
      <w:pPr>
        <w:pStyle w:val="ad"/>
        <w:spacing w:line="360" w:lineRule="auto"/>
        <w:jc w:val="both"/>
        <w:rPr>
          <w:rFonts w:ascii="David" w:hAnsi="David" w:cs="David"/>
          <w:sz w:val="24"/>
          <w:szCs w:val="24"/>
        </w:rPr>
      </w:pPr>
      <w:r>
        <w:rPr>
          <w:rFonts w:ascii="David" w:hAnsi="David" w:cs="David"/>
          <w:b/>
          <w:bCs/>
          <w:sz w:val="24"/>
          <w:szCs w:val="24"/>
          <w:rtl/>
        </w:rPr>
        <w:t xml:space="preserve">ת. </w:t>
      </w:r>
      <w:r>
        <w:rPr>
          <w:rFonts w:ascii="David" w:hAnsi="David" w:cs="David" w:hint="cs"/>
          <w:b/>
          <w:bCs/>
          <w:sz w:val="24"/>
          <w:szCs w:val="24"/>
          <w:rtl/>
        </w:rPr>
        <w:t>....</w:t>
      </w:r>
      <w:r>
        <w:rPr>
          <w:rFonts w:ascii="David" w:hAnsi="David" w:cs="David"/>
          <w:b/>
          <w:bCs/>
          <w:sz w:val="24"/>
          <w:szCs w:val="24"/>
          <w:rtl/>
        </w:rPr>
        <w:t xml:space="preserve"> ו</w:t>
      </w:r>
      <w:r>
        <w:rPr>
          <w:rFonts w:ascii="David" w:hAnsi="David" w:cs="David" w:hint="cs"/>
          <w:b/>
          <w:bCs/>
          <w:sz w:val="24"/>
          <w:szCs w:val="24"/>
          <w:rtl/>
        </w:rPr>
        <w:t xml:space="preserve"> ...</w:t>
      </w:r>
      <w:r w:rsidR="00014375">
        <w:rPr>
          <w:rFonts w:ascii="David" w:hAnsi="David" w:cs="David"/>
          <w:sz w:val="24"/>
          <w:szCs w:val="24"/>
          <w:rtl/>
        </w:rPr>
        <w:t xml:space="preserve"> (ראו: נספח ו' לתצהיר האיש). </w:t>
      </w:r>
    </w:p>
    <w:p w:rsidR="00014375" w:rsidRDefault="00014375" w:rsidP="00014375">
      <w:pPr>
        <w:pStyle w:val="ad"/>
        <w:rPr>
          <w:rFonts w:ascii="David" w:hAnsi="David" w:cs="David"/>
          <w:sz w:val="24"/>
          <w:szCs w:val="24"/>
          <w:rtl/>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בחקירתה הבהירה האישה כי בגין שני העסקים מתקבל רווח בסך 22,000 ₪ לחודש, אולם מדובר ברווח לפני תשלום הוצאות:</w:t>
      </w:r>
    </w:p>
    <w:p w:rsidR="00014375" w:rsidRDefault="00014375" w:rsidP="00014375">
      <w:pPr>
        <w:pStyle w:val="David"/>
        <w:ind w:left="644" w:right="1276"/>
        <w:rPr>
          <w:b/>
          <w:bCs/>
        </w:rPr>
      </w:pPr>
      <w:r>
        <w:rPr>
          <w:b/>
          <w:bCs/>
          <w:rtl/>
        </w:rPr>
        <w:lastRenderedPageBreak/>
        <w:t>ש. "את יודעת, אני מחזיק את פרוטוקול ביה"ד הרבני, בו את הודית שההכנסה שלך משני העסקים שאת מנהלת בבית עומדת על 22,000 ש"ח לחודש.</w:t>
      </w:r>
    </w:p>
    <w:p w:rsidR="00014375" w:rsidRDefault="00014375" w:rsidP="004A678B">
      <w:pPr>
        <w:pStyle w:val="David"/>
        <w:ind w:left="644" w:right="1276"/>
        <w:rPr>
          <w:b/>
          <w:bCs/>
        </w:rPr>
      </w:pPr>
      <w:r>
        <w:rPr>
          <w:b/>
          <w:bCs/>
          <w:rtl/>
        </w:rPr>
        <w:t xml:space="preserve">ת. כשאני הצהרתי בביה"ד הרבני השאלה של כב' הרב הייתה ברורה, כמה הכנסות. הוא שאל הכנסות, אני עניתי הכנסות 22,000, הוא לא שאל כמה הוצאות. אני הדגשתי שם ומצוין בפרוטוקול שזה לפני הוצאות, משמע אם אני מוכרת לך </w:t>
      </w:r>
      <w:r w:rsidR="004A678B">
        <w:rPr>
          <w:rFonts w:hint="cs"/>
          <w:b/>
          <w:bCs/>
          <w:rtl/>
        </w:rPr>
        <w:t>...</w:t>
      </w:r>
      <w:r>
        <w:rPr>
          <w:b/>
          <w:bCs/>
          <w:rtl/>
        </w:rPr>
        <w:t xml:space="preserve"> ב-150 ₪, הרווח שלי 20 ₪. אני נמצאת בפריפריה של </w:t>
      </w:r>
      <w:r w:rsidR="004A678B">
        <w:rPr>
          <w:rFonts w:hint="cs"/>
          <w:b/>
          <w:bCs/>
          <w:rtl/>
        </w:rPr>
        <w:t xml:space="preserve">... </w:t>
      </w:r>
      <w:r>
        <w:rPr>
          <w:b/>
          <w:bCs/>
          <w:rtl/>
        </w:rPr>
        <w:t xml:space="preserve">, על כל </w:t>
      </w:r>
      <w:r w:rsidR="004A678B">
        <w:rPr>
          <w:rFonts w:hint="cs"/>
          <w:b/>
          <w:bCs/>
          <w:rtl/>
        </w:rPr>
        <w:t>...</w:t>
      </w:r>
      <w:r>
        <w:rPr>
          <w:b/>
          <w:bCs/>
          <w:rtl/>
        </w:rPr>
        <w:t xml:space="preserve"> ב-7 ₪ מרוויחה שקל וחצי. ההוצאות שלי הן ממש קרובות להכנסות שלי, זאת אומרת אין לי הרבה רווחים, הכל כתוב והוגש לביהמ"ש ולביה"ד. אתה נתפסת על זה שאני מרוויחה 22,000 ₪. אולי הייתי במקום אחר, יש לי 6 ילדים שאני מפרנסת בכבוד.</w:t>
      </w:r>
    </w:p>
    <w:p w:rsidR="00014375" w:rsidRDefault="00014375" w:rsidP="00014375">
      <w:pPr>
        <w:pStyle w:val="David"/>
        <w:ind w:left="644" w:right="1276"/>
        <w:rPr>
          <w:b/>
          <w:bCs/>
          <w:rtl/>
        </w:rPr>
      </w:pPr>
      <w:r>
        <w:rPr>
          <w:b/>
          <w:bCs/>
          <w:rtl/>
        </w:rPr>
        <w:t>ש. פרוטוקול הדיון הזה היה סך הכל לפני קצת יותר משנה. ואת לא אומרת בשום שלב שעזבת את בית המגורים ופתחת עסק במקום אחר.</w:t>
      </w:r>
    </w:p>
    <w:p w:rsidR="00014375" w:rsidRDefault="00014375" w:rsidP="00014375">
      <w:pPr>
        <w:pStyle w:val="David"/>
        <w:ind w:left="644" w:right="1276"/>
        <w:rPr>
          <w:rtl/>
        </w:rPr>
      </w:pPr>
      <w:r>
        <w:rPr>
          <w:b/>
          <w:bCs/>
          <w:rtl/>
        </w:rPr>
        <w:t>ת. אני עונה כששואלים אותי. אני לא יודעת מה אני צריכה לספר. אני נותנת פרטים, הכל מתועד, יש רו"ח שהגיש דוחות".</w:t>
      </w:r>
      <w:r>
        <w:rPr>
          <w:rtl/>
        </w:rPr>
        <w:t xml:space="preserve"> (ראו בעמ' 33 לפרוטוקול הדיון מיום 26.5.21)</w:t>
      </w:r>
    </w:p>
    <w:p w:rsidR="00014375" w:rsidRDefault="00014375" w:rsidP="00014375">
      <w:pPr>
        <w:pStyle w:val="ad"/>
        <w:spacing w:line="360" w:lineRule="auto"/>
        <w:ind w:left="644"/>
        <w:jc w:val="both"/>
        <w:rPr>
          <w:rFonts w:ascii="David" w:hAnsi="David" w:cs="David"/>
          <w:sz w:val="24"/>
          <w:szCs w:val="24"/>
          <w:rtl/>
        </w:rPr>
      </w:pPr>
    </w:p>
    <w:p w:rsidR="00014375" w:rsidRDefault="00014375" w:rsidP="004A67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לאחר עיון בראיות המונחות שהונחו לפניי, כאשר </w:t>
      </w:r>
      <w:r>
        <w:rPr>
          <w:rFonts w:ascii="David" w:hAnsi="David" w:cs="David"/>
          <w:sz w:val="24"/>
          <w:szCs w:val="24"/>
          <w:u w:val="single"/>
          <w:rtl/>
        </w:rPr>
        <w:t>מחד,</w:t>
      </w:r>
      <w:r>
        <w:rPr>
          <w:rFonts w:ascii="David" w:hAnsi="David" w:cs="David"/>
          <w:sz w:val="24"/>
          <w:szCs w:val="24"/>
          <w:rtl/>
        </w:rPr>
        <w:t xml:space="preserve"> חוות דעת המומחה לעניין השתכרות האישה ניתנה שעה שעסק </w:t>
      </w:r>
      <w:r w:rsidR="004A678B">
        <w:rPr>
          <w:rFonts w:ascii="David" w:hAnsi="David" w:cs="David" w:hint="cs"/>
          <w:sz w:val="24"/>
          <w:szCs w:val="24"/>
          <w:rtl/>
        </w:rPr>
        <w:t>...</w:t>
      </w:r>
      <w:r>
        <w:rPr>
          <w:rFonts w:ascii="David" w:hAnsi="David" w:cs="David"/>
          <w:sz w:val="24"/>
          <w:szCs w:val="24"/>
          <w:rtl/>
        </w:rPr>
        <w:t xml:space="preserve"> היה עדיין בחיתוליו ולא הניב כל רווח, ונוכח הפרסומים אודות שני העסקים שהוצגו לפניי, דוח רווח והפסד לשנת 2020, והרווח לו טענה האישה בדיון בבית הדין הרבני, </w:t>
      </w:r>
      <w:r>
        <w:rPr>
          <w:rFonts w:ascii="David" w:hAnsi="David" w:cs="David"/>
          <w:sz w:val="24"/>
          <w:szCs w:val="24"/>
          <w:u w:val="single"/>
          <w:rtl/>
        </w:rPr>
        <w:t>ומאידך</w:t>
      </w:r>
      <w:r>
        <w:rPr>
          <w:rFonts w:ascii="David" w:hAnsi="David" w:cs="David"/>
          <w:sz w:val="24"/>
          <w:szCs w:val="24"/>
          <w:rtl/>
        </w:rPr>
        <w:t xml:space="preserve">, בשים לב לטענת האישה כי מדובר ברווח המתקבל לפני תשלומי ההוצאות, מצאתי כי יש להעמיד את הכנסתה של האישה משני העסקים יחד או לחילופין את פוטנציאל השתכרותה בסך </w:t>
      </w:r>
      <w:r>
        <w:rPr>
          <w:rFonts w:ascii="David" w:hAnsi="David" w:cs="David"/>
          <w:b/>
          <w:bCs/>
          <w:sz w:val="24"/>
          <w:szCs w:val="24"/>
          <w:rtl/>
        </w:rPr>
        <w:t xml:space="preserve">8,000 ₪ נטו לחודש. </w:t>
      </w:r>
    </w:p>
    <w:p w:rsidR="00014375" w:rsidRDefault="00014375" w:rsidP="00014375">
      <w:pPr>
        <w:pStyle w:val="ad"/>
        <w:spacing w:line="360" w:lineRule="auto"/>
        <w:jc w:val="both"/>
        <w:rPr>
          <w:rFonts w:ascii="David" w:hAnsi="David" w:cs="David"/>
          <w:sz w:val="24"/>
          <w:szCs w:val="24"/>
        </w:rPr>
      </w:pPr>
    </w:p>
    <w:p w:rsidR="00014375" w:rsidRDefault="00014375" w:rsidP="00014375">
      <w:pPr>
        <w:pStyle w:val="ad"/>
        <w:spacing w:line="360" w:lineRule="auto"/>
        <w:ind w:left="644"/>
        <w:jc w:val="both"/>
        <w:rPr>
          <w:rFonts w:ascii="David" w:hAnsi="David" w:cs="David"/>
          <w:b/>
          <w:bCs/>
          <w:sz w:val="24"/>
          <w:szCs w:val="24"/>
          <w:u w:val="single"/>
        </w:rPr>
      </w:pPr>
      <w:r>
        <w:rPr>
          <w:rFonts w:ascii="David" w:hAnsi="David" w:cs="David"/>
          <w:b/>
          <w:bCs/>
          <w:sz w:val="24"/>
          <w:szCs w:val="24"/>
          <w:u w:val="single"/>
          <w:rtl/>
        </w:rPr>
        <w:t>השתכרות האיש:</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המומחה קבע בחוות דעתו כי "האיש מושך משכורת בסך של כ-25,000 ₪ ברוטו לחודש, שהינה סבירה לבעל מקצוע מסוגו..." (ראו: בעמ' 15 לחוות הדעת מיום 10.6.21). המומחה חזר על קביעה זו אף במהלך חקירתו (ראו: בעמ' 57 לפרוטוקול הדיון מיום 26.5.21).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האיש טען בחקירתו כי שכר של 25,000 ₪ ברוטו הינו למעשה 16,000 ₪ נטו לחודש (ראו: בעמ' 77-78 לפרוטוקול הדיון מיום 27.5.21).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lastRenderedPageBreak/>
        <w:t>האיש צירף תלושי שכר אותם מקבל מהחברה שבבעלותו, לפיהן הכנסתו ברוטו הינה 14,000 ₪ לחודש (12,000 ₪ נטו). ואולם, נוכח התרשמותי בחקירת האיש, לא השתכנעתי כי השתכרותו עומדת כיום ע"ס 12,000 ₪ בלבד כפי שטען. יתרה מכך, שעה שהאיש קיבל את האמור בחוות דעת המומחה, ומשעלה בחקירתו של האיש כי קיבל מענקי קורונה אליהם לא התייחס בתצהירו (כ-100,000 ₪, ראו חקירת האיש בעמ' 77 לפרוטוקול מיום 27.5.21), ובשים לב אף לרמת החיים בה חיו הצדדים במהלך חייהם המשותפים, מצאתי להעמיד את גובה השתכרותו של האיש או לחילופין את פוטנציאל השתכרותו על סך</w:t>
      </w:r>
      <w:r>
        <w:rPr>
          <w:rFonts w:ascii="David" w:hAnsi="David" w:cs="David"/>
          <w:b/>
          <w:bCs/>
          <w:sz w:val="24"/>
          <w:szCs w:val="24"/>
          <w:rtl/>
        </w:rPr>
        <w:t xml:space="preserve"> 18,000 ₪ נטו לחודש. </w:t>
      </w:r>
    </w:p>
    <w:p w:rsidR="00014375" w:rsidRDefault="00014375" w:rsidP="00014375">
      <w:pPr>
        <w:pStyle w:val="ad"/>
        <w:rPr>
          <w:rFonts w:ascii="David" w:hAnsi="David" w:cs="David"/>
          <w:b/>
          <w:bCs/>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לצורך קביעת יחס ההשתכרות של הצדדים יש לעשות שימוש בהכנסתם הפנויה, שכן אך ורק בהכנסה פנויה זו הם יכולים לשרת את צרכי הקטינים (ראו: עמ"ש (מרכז) 51056-09-20, מיום 23.3.21). לצורך חישוב הכנסה פנויה שומה עלינו להפחית מסך ההשתכרות סך מינימלי ומצומצם של הוצאות שחייב אדם להוציא עבור עצמו, בסך 1,500 ₪ לכל אחד מהצדדים.  </w:t>
      </w:r>
      <w:r>
        <w:rPr>
          <w:rFonts w:ascii="David" w:hAnsi="David" w:cs="David"/>
          <w:b/>
          <w:bCs/>
          <w:sz w:val="24"/>
          <w:szCs w:val="24"/>
          <w:rtl/>
        </w:rPr>
        <w:t>לפיכך אני מעמידה את יחס ההכנסות בין הצדדים על  70:30.</w:t>
      </w:r>
    </w:p>
    <w:p w:rsidR="00014375" w:rsidRDefault="00014375" w:rsidP="00014375">
      <w:pPr>
        <w:pStyle w:val="ad"/>
        <w:rPr>
          <w:rFonts w:ascii="David" w:hAnsi="David" w:cs="David"/>
          <w:sz w:val="24"/>
          <w:szCs w:val="24"/>
        </w:rPr>
      </w:pPr>
    </w:p>
    <w:p w:rsidR="00014375" w:rsidRDefault="00014375" w:rsidP="00014375">
      <w:pPr>
        <w:pStyle w:val="ad"/>
        <w:spacing w:line="360" w:lineRule="auto"/>
        <w:ind w:left="644"/>
        <w:jc w:val="both"/>
        <w:rPr>
          <w:rFonts w:ascii="David" w:hAnsi="David" w:cs="David"/>
          <w:sz w:val="24"/>
          <w:szCs w:val="24"/>
          <w:rtl/>
        </w:rPr>
      </w:pPr>
      <w:r>
        <w:rPr>
          <w:rFonts w:ascii="David" w:hAnsi="David" w:cs="David"/>
          <w:b/>
          <w:bCs/>
          <w:sz w:val="24"/>
          <w:szCs w:val="24"/>
          <w:u w:val="single"/>
          <w:rtl/>
        </w:rPr>
        <w:t>זמני השהות:</w:t>
      </w:r>
      <w:r>
        <w:rPr>
          <w:rFonts w:ascii="David" w:hAnsi="David" w:cs="David"/>
          <w:sz w:val="24"/>
          <w:szCs w:val="24"/>
          <w:rtl/>
        </w:rPr>
        <w:t xml:space="preserve">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21.6.18 ניתן תוקף של פסק דין להסכמות הצדדים, לפיהן (בין היתר), משמורת הקטינים תהא לאם, וכי "הסדרי שהות של הקטינים עם האב יהיו בכל יום שלישי </w:t>
      </w:r>
      <w:r w:rsidR="004A678B">
        <w:rPr>
          <w:rFonts w:ascii="David" w:hAnsi="David" w:cs="David"/>
          <w:sz w:val="24"/>
          <w:szCs w:val="24"/>
          <w:rtl/>
        </w:rPr>
        <w:t>משעה 15:00-16:00 עם הקטינה ק</w:t>
      </w:r>
      <w:r w:rsidR="004A678B">
        <w:rPr>
          <w:rFonts w:ascii="David" w:hAnsi="David" w:cs="David" w:hint="cs"/>
          <w:sz w:val="24"/>
          <w:szCs w:val="24"/>
          <w:rtl/>
        </w:rPr>
        <w:t>'</w:t>
      </w:r>
      <w:r>
        <w:rPr>
          <w:rFonts w:ascii="David" w:hAnsi="David" w:cs="David"/>
          <w:sz w:val="24"/>
          <w:szCs w:val="24"/>
          <w:rtl/>
        </w:rPr>
        <w:t xml:space="preserve"> ומ-16:00-20:00 עם יתר הקטינים. איסוף והשבה לבית האם לאחר ארוחת ערב. בנוסף, כל סוף שבוע שני מיום שישי עם תום המסגרת ועד מוצ"ש..." (ראו פסק דין שניתן על ידי כב' השופטת מירית פולוס בתלה"מ 22340-02-18).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בחקירתו הבהיר האיש כי הקטינים אינם לנים בביתו, ואולם לטענתו הוא שוהה עימם במהלך היום:</w:t>
      </w:r>
    </w:p>
    <w:p w:rsidR="00014375" w:rsidRDefault="00014375" w:rsidP="00014375">
      <w:pPr>
        <w:pStyle w:val="ad"/>
        <w:ind w:right="1134"/>
        <w:rPr>
          <w:rFonts w:ascii="David" w:hAnsi="David" w:cs="David"/>
          <w:sz w:val="24"/>
          <w:szCs w:val="24"/>
        </w:rPr>
      </w:pPr>
    </w:p>
    <w:p w:rsidR="00014375" w:rsidRDefault="00014375" w:rsidP="00014375">
      <w:pPr>
        <w:pStyle w:val="David"/>
        <w:ind w:left="720" w:right="1134"/>
        <w:rPr>
          <w:rFonts w:ascii="David" w:eastAsia="David" w:hAnsi="David"/>
          <w:b/>
          <w:bCs/>
          <w:rtl/>
        </w:rPr>
      </w:pPr>
      <w:r>
        <w:rPr>
          <w:rFonts w:ascii="David" w:eastAsia="David" w:hAnsi="David"/>
          <w:b/>
          <w:bCs/>
          <w:rtl/>
        </w:rPr>
        <w:t>ש. "אתה זוכר מה נפסק לך זמני שהות?</w:t>
      </w:r>
    </w:p>
    <w:p w:rsidR="00014375" w:rsidRDefault="00014375" w:rsidP="00014375">
      <w:pPr>
        <w:pStyle w:val="David"/>
        <w:ind w:left="720" w:right="1134"/>
        <w:rPr>
          <w:rFonts w:ascii="David" w:eastAsia="David" w:hAnsi="David"/>
          <w:b/>
          <w:bCs/>
        </w:rPr>
      </w:pPr>
      <w:r>
        <w:rPr>
          <w:rFonts w:ascii="David" w:eastAsia="David" w:hAnsi="David"/>
          <w:b/>
          <w:bCs/>
          <w:rtl/>
        </w:rPr>
        <w:t>ת. יום שלישי מ-16:00 עד 20:00 וכל שבת שניה, אבל לעומת זאת אני ל</w:t>
      </w:r>
      <w:r w:rsidR="004A678B">
        <w:rPr>
          <w:rFonts w:ascii="David" w:eastAsia="David" w:hAnsi="David"/>
          <w:b/>
          <w:bCs/>
          <w:rtl/>
        </w:rPr>
        <w:t>א ראיתי את הילדים שלי, את ק</w:t>
      </w:r>
      <w:r w:rsidR="004A678B">
        <w:rPr>
          <w:rFonts w:ascii="David" w:eastAsia="David" w:hAnsi="David" w:hint="cs"/>
          <w:b/>
          <w:bCs/>
          <w:rtl/>
        </w:rPr>
        <w:t xml:space="preserve">' </w:t>
      </w:r>
      <w:r>
        <w:rPr>
          <w:rFonts w:ascii="David" w:eastAsia="David" w:hAnsi="David"/>
          <w:b/>
          <w:bCs/>
          <w:rtl/>
        </w:rPr>
        <w:t>רק ב-4 חו</w:t>
      </w:r>
      <w:r w:rsidR="004A678B">
        <w:rPr>
          <w:rFonts w:ascii="David" w:eastAsia="David" w:hAnsi="David"/>
          <w:b/>
          <w:bCs/>
          <w:rtl/>
        </w:rPr>
        <w:t>דשים האחרונים, אני רואה את ק</w:t>
      </w:r>
      <w:r w:rsidR="004A678B">
        <w:rPr>
          <w:rFonts w:ascii="David" w:eastAsia="David" w:hAnsi="David" w:hint="cs"/>
          <w:b/>
          <w:bCs/>
          <w:rtl/>
        </w:rPr>
        <w:t>'</w:t>
      </w:r>
      <w:r>
        <w:rPr>
          <w:rFonts w:ascii="David" w:eastAsia="David" w:hAnsi="David"/>
          <w:b/>
          <w:bCs/>
          <w:rtl/>
        </w:rPr>
        <w:t xml:space="preserve"> פעם בשבוע, היא באה עם הילדה הגדולה כי היא לא מכירה אותי אז היא חייבת מישהו איתה, אני לוקח את הילדים וגם לפ</w:t>
      </w:r>
      <w:r w:rsidR="00A76C45">
        <w:rPr>
          <w:rFonts w:ascii="David" w:eastAsia="David" w:hAnsi="David"/>
          <w:b/>
          <w:bCs/>
          <w:rtl/>
        </w:rPr>
        <w:t>עמים 4 פעמים בשבוע, לוקח את ש</w:t>
      </w:r>
      <w:r w:rsidR="00A76C45">
        <w:rPr>
          <w:rFonts w:ascii="David" w:eastAsia="David" w:hAnsi="David" w:hint="cs"/>
          <w:b/>
          <w:bCs/>
          <w:rtl/>
        </w:rPr>
        <w:t>'</w:t>
      </w:r>
      <w:r w:rsidR="00A76C45">
        <w:rPr>
          <w:rFonts w:ascii="David" w:eastAsia="David" w:hAnsi="David"/>
          <w:b/>
          <w:bCs/>
          <w:rtl/>
        </w:rPr>
        <w:t xml:space="preserve"> איתי לעבודה, לוקח את מ</w:t>
      </w:r>
      <w:r w:rsidR="00A76C45">
        <w:rPr>
          <w:rFonts w:ascii="David" w:eastAsia="David" w:hAnsi="David" w:hint="cs"/>
          <w:b/>
          <w:bCs/>
          <w:rtl/>
        </w:rPr>
        <w:t>'</w:t>
      </w:r>
      <w:r>
        <w:rPr>
          <w:rFonts w:ascii="David" w:eastAsia="David" w:hAnsi="David"/>
          <w:b/>
          <w:bCs/>
          <w:rtl/>
        </w:rPr>
        <w:t xml:space="preserve"> לסידורים. אני איתם בקשר שעתי ויומיומי בווטסאפ ובטלפונים.</w:t>
      </w:r>
    </w:p>
    <w:p w:rsidR="00014375" w:rsidRDefault="00014375" w:rsidP="00014375">
      <w:pPr>
        <w:pStyle w:val="David"/>
        <w:ind w:left="720" w:right="1134"/>
        <w:rPr>
          <w:rFonts w:ascii="David" w:eastAsia="David" w:hAnsi="David"/>
          <w:b/>
          <w:bCs/>
          <w:rtl/>
        </w:rPr>
      </w:pPr>
      <w:r>
        <w:rPr>
          <w:rFonts w:ascii="David" w:eastAsia="David" w:hAnsi="David"/>
          <w:b/>
          <w:bCs/>
          <w:rtl/>
        </w:rPr>
        <w:t>ש. איך לא כתבת את זה בתצהיר שלך שכל יום הם אצלך?</w:t>
      </w:r>
    </w:p>
    <w:p w:rsidR="00014375" w:rsidRDefault="00014375" w:rsidP="00014375">
      <w:pPr>
        <w:pStyle w:val="David"/>
        <w:ind w:left="720" w:right="1134"/>
        <w:rPr>
          <w:rFonts w:ascii="David" w:eastAsia="David" w:hAnsi="David"/>
          <w:b/>
          <w:bCs/>
          <w:rtl/>
        </w:rPr>
      </w:pPr>
      <w:r>
        <w:rPr>
          <w:rFonts w:ascii="David" w:eastAsia="David" w:hAnsi="David"/>
          <w:b/>
          <w:bCs/>
          <w:rtl/>
        </w:rPr>
        <w:lastRenderedPageBreak/>
        <w:t>ת. לא אמרתי כל יום אלא שיש לי מומנט וזמן בשבוע יוצא לי לראות את זאת, את זאת, לקחת לסידורים, לוקח קונה לה.</w:t>
      </w:r>
    </w:p>
    <w:p w:rsidR="00014375" w:rsidRDefault="00014375" w:rsidP="00014375">
      <w:pPr>
        <w:pStyle w:val="David"/>
        <w:ind w:left="720" w:right="1134"/>
        <w:rPr>
          <w:rFonts w:ascii="David" w:eastAsia="David" w:hAnsi="David"/>
          <w:b/>
          <w:bCs/>
          <w:rtl/>
        </w:rPr>
      </w:pPr>
      <w:r>
        <w:rPr>
          <w:rFonts w:ascii="David" w:eastAsia="David" w:hAnsi="David"/>
          <w:b/>
          <w:bCs/>
          <w:rtl/>
        </w:rPr>
        <w:t>ש. מתי פעם אחרונה הם ישנו אצלך?</w:t>
      </w:r>
    </w:p>
    <w:p w:rsidR="00014375" w:rsidRDefault="00014375" w:rsidP="004A678B">
      <w:pPr>
        <w:pStyle w:val="David"/>
        <w:ind w:left="720" w:right="1134"/>
        <w:rPr>
          <w:rFonts w:ascii="David" w:hAnsi="David"/>
          <w:b/>
          <w:bCs/>
          <w:rtl/>
        </w:rPr>
      </w:pPr>
      <w:r>
        <w:rPr>
          <w:rFonts w:ascii="David" w:eastAsia="David" w:hAnsi="David"/>
          <w:b/>
          <w:bCs/>
          <w:rtl/>
        </w:rPr>
        <w:t xml:space="preserve">ת. הם לא ישנו אצלי. אני ישנתי איתם אצל אמי </w:t>
      </w:r>
      <w:r w:rsidR="004A678B">
        <w:rPr>
          <w:rFonts w:ascii="David" w:eastAsia="David" w:hAnsi="David" w:hint="cs"/>
          <w:b/>
          <w:bCs/>
          <w:rtl/>
        </w:rPr>
        <w:t>...</w:t>
      </w:r>
      <w:r>
        <w:rPr>
          <w:rFonts w:ascii="David" w:eastAsia="David" w:hAnsi="David"/>
          <w:b/>
          <w:bCs/>
          <w:rtl/>
        </w:rPr>
        <w:t xml:space="preserve"> לפני הקורונה.</w:t>
      </w:r>
      <w:r>
        <w:rPr>
          <w:rFonts w:ascii="David" w:hAnsi="David"/>
          <w:b/>
          <w:bCs/>
          <w:rtl/>
        </w:rPr>
        <w:t xml:space="preserve"> חלק מהזמן הזה היו פשוט כמה חודשים אחרי ההחלטה של מכירת הבי</w:t>
      </w:r>
      <w:r w:rsidR="004A678B">
        <w:rPr>
          <w:rFonts w:ascii="David" w:hAnsi="David"/>
          <w:b/>
          <w:bCs/>
          <w:rtl/>
        </w:rPr>
        <w:t>ת אצל פולוס 3 וחצי חודשים לא ק</w:t>
      </w:r>
      <w:r w:rsidR="004A678B">
        <w:rPr>
          <w:rFonts w:ascii="David" w:hAnsi="David" w:hint="cs"/>
          <w:b/>
          <w:bCs/>
          <w:rtl/>
        </w:rPr>
        <w:t>'</w:t>
      </w:r>
      <w:r w:rsidR="004A678B">
        <w:rPr>
          <w:rFonts w:ascii="David" w:hAnsi="David"/>
          <w:b/>
          <w:bCs/>
          <w:rtl/>
        </w:rPr>
        <w:t xml:space="preserve">, לא </w:t>
      </w:r>
      <w:r w:rsidR="004A678B">
        <w:rPr>
          <w:rFonts w:ascii="David" w:hAnsi="David" w:hint="cs"/>
          <w:b/>
          <w:bCs/>
          <w:rtl/>
        </w:rPr>
        <w:t>מ'</w:t>
      </w:r>
      <w:r w:rsidR="004A678B">
        <w:rPr>
          <w:rFonts w:ascii="David" w:hAnsi="David"/>
          <w:b/>
          <w:bCs/>
          <w:rtl/>
        </w:rPr>
        <w:t xml:space="preserve"> ולא ש</w:t>
      </w:r>
      <w:r w:rsidR="004A678B">
        <w:rPr>
          <w:rFonts w:ascii="David" w:hAnsi="David" w:hint="cs"/>
          <w:b/>
          <w:bCs/>
          <w:rtl/>
        </w:rPr>
        <w:t>'</w:t>
      </w:r>
      <w:r>
        <w:rPr>
          <w:rFonts w:ascii="David" w:hAnsi="David"/>
          <w:b/>
          <w:bCs/>
          <w:rtl/>
        </w:rPr>
        <w:t xml:space="preserve">, הם פשוט נעלו אותי בטלפון ולא יכולתי להתקשר ולאתר אותם בשום מצב ואני לבית שם לא נכנס". </w:t>
      </w:r>
      <w:r>
        <w:rPr>
          <w:rFonts w:ascii="David" w:hAnsi="David"/>
          <w:rtl/>
        </w:rPr>
        <w:t>(ראו: בעמ' 72 לפרוטוקול הדיון מיום 27.5.21)</w:t>
      </w:r>
      <w:r>
        <w:rPr>
          <w:rFonts w:ascii="David" w:hAnsi="David"/>
          <w:b/>
          <w:bCs/>
          <w:rtl/>
        </w:rPr>
        <w:t>.</w:t>
      </w:r>
    </w:p>
    <w:p w:rsidR="00014375" w:rsidRDefault="00014375" w:rsidP="00014375">
      <w:pPr>
        <w:pStyle w:val="ad"/>
        <w:rPr>
          <w:rFonts w:ascii="David" w:hAnsi="David" w:cs="David"/>
          <w:sz w:val="24"/>
          <w:szCs w:val="24"/>
          <w:rtl/>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לאחר שמיעת הצדדים עלה כי זמני השהות אינם מתקיימים כסדרם, כאשר כל אחד מההורים תולה את האשמה לכך בהורה השני (ראו: עמ' 72-73 לפרוטוקול הדיון מיום 27.5.21. בנוסף, ראו: החלטת כב' השופטת פולוס מיום 23.6.20).  </w:t>
      </w:r>
    </w:p>
    <w:p w:rsidR="00014375" w:rsidRDefault="00014375" w:rsidP="00014375">
      <w:pPr>
        <w:pStyle w:val="ad"/>
        <w:rPr>
          <w:rFonts w:ascii="David" w:hAnsi="David" w:cs="David"/>
          <w:sz w:val="24"/>
          <w:szCs w:val="24"/>
          <w:rtl/>
        </w:rPr>
      </w:pPr>
    </w:p>
    <w:p w:rsidR="00014375" w:rsidRDefault="00014375" w:rsidP="00014375">
      <w:pPr>
        <w:pStyle w:val="ad"/>
        <w:spacing w:line="360" w:lineRule="auto"/>
        <w:ind w:left="644"/>
        <w:jc w:val="both"/>
        <w:rPr>
          <w:rFonts w:ascii="David" w:hAnsi="David" w:cs="David"/>
          <w:sz w:val="24"/>
          <w:szCs w:val="24"/>
          <w:rtl/>
        </w:rPr>
      </w:pPr>
      <w:r>
        <w:rPr>
          <w:rFonts w:ascii="David" w:hAnsi="David" w:cs="David"/>
          <w:b/>
          <w:bCs/>
          <w:sz w:val="24"/>
          <w:szCs w:val="24"/>
          <w:u w:val="single"/>
          <w:rtl/>
        </w:rPr>
        <w:t>צרכי הקטינים:</w:t>
      </w:r>
      <w:r>
        <w:rPr>
          <w:rFonts w:ascii="David" w:hAnsi="David" w:cs="David"/>
          <w:b/>
          <w:bCs/>
          <w:sz w:val="24"/>
          <w:szCs w:val="24"/>
          <w:rtl/>
        </w:rPr>
        <w:t xml:space="preserve">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האישה, במהלך החיים המשותפים התנהלו הצדדים ברמת חיים גבוהה, התגוררו בבית רחב ידיים עם בריכה, יצאו לנפוש בארץ ובחו"ל, ונהנו מחיי מותרות. לטענתה, נוכח פערי השכר בין הצדדים כפי שאף באו לידי ביטוי בחוות דעת המומחה שלא נסתרה, וזמני השהות המצומצמים של האיש עם הקטינים, הרי שעל האיש לשאת במזונות כל קטין בסך 2,000 ₪ לחודש, וכן 90% מהוצאות החינוך והרפואה של הקטינים. בנוסף לטענתה, על האיש לשאת בתשלום מדור בסך 3,350 ₪ לחודש, שהינם 50% מדמי השכירות החלופיים אותם העריך שמאי המקרקעין עבור בית הצדדים.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מנגד טוען האיש, כי סכום המזונות הזמניים שנפסק הנו גבוה. עוד נטען כי האישה מוציאה כספים על מותרות ועל מימון מסיבות. לטענת האיש, יש לפסוק מזונות בהתאם</w:t>
      </w:r>
      <w:r w:rsidR="004A678B">
        <w:rPr>
          <w:rFonts w:ascii="David" w:hAnsi="David" w:cs="David"/>
          <w:sz w:val="24"/>
          <w:szCs w:val="24"/>
          <w:rtl/>
        </w:rPr>
        <w:t xml:space="preserve"> לגיל הקטינים: עבור הקטינה ק</w:t>
      </w:r>
      <w:r w:rsidR="004A678B">
        <w:rPr>
          <w:rFonts w:ascii="David" w:hAnsi="David" w:cs="David" w:hint="cs"/>
          <w:sz w:val="24"/>
          <w:szCs w:val="24"/>
          <w:rtl/>
        </w:rPr>
        <w:t>'</w:t>
      </w:r>
      <w:r>
        <w:rPr>
          <w:rFonts w:ascii="David" w:hAnsi="David" w:cs="David"/>
          <w:sz w:val="24"/>
          <w:szCs w:val="24"/>
          <w:rtl/>
        </w:rPr>
        <w:t xml:space="preserve"> שהינה מתחת ל</w:t>
      </w:r>
      <w:r w:rsidR="004A678B">
        <w:rPr>
          <w:rFonts w:ascii="David" w:hAnsi="David" w:cs="David"/>
          <w:sz w:val="24"/>
          <w:szCs w:val="24"/>
          <w:rtl/>
        </w:rPr>
        <w:t>גיל 6 יש לפסוק 1,400 ₪, עבור ש</w:t>
      </w:r>
      <w:r w:rsidR="004A678B">
        <w:rPr>
          <w:rFonts w:ascii="David" w:hAnsi="David" w:cs="David" w:hint="cs"/>
          <w:sz w:val="24"/>
          <w:szCs w:val="24"/>
          <w:rtl/>
        </w:rPr>
        <w:t>'</w:t>
      </w:r>
      <w:r>
        <w:rPr>
          <w:rFonts w:ascii="David" w:hAnsi="David" w:cs="David"/>
          <w:sz w:val="24"/>
          <w:szCs w:val="24"/>
          <w:rtl/>
        </w:rPr>
        <w:t xml:space="preserve"> ו</w:t>
      </w:r>
      <w:r w:rsidR="004A678B">
        <w:rPr>
          <w:rFonts w:ascii="David" w:hAnsi="David" w:cs="David" w:hint="cs"/>
          <w:sz w:val="24"/>
          <w:szCs w:val="24"/>
          <w:rtl/>
        </w:rPr>
        <w:t xml:space="preserve">- </w:t>
      </w:r>
      <w:r w:rsidR="004A678B">
        <w:rPr>
          <w:rFonts w:ascii="David" w:hAnsi="David" w:cs="David"/>
          <w:sz w:val="24"/>
          <w:szCs w:val="24"/>
          <w:rtl/>
        </w:rPr>
        <w:t>מ</w:t>
      </w:r>
      <w:r w:rsidR="004A678B">
        <w:rPr>
          <w:rFonts w:ascii="David" w:hAnsi="David" w:cs="David" w:hint="cs"/>
          <w:sz w:val="24"/>
          <w:szCs w:val="24"/>
          <w:rtl/>
        </w:rPr>
        <w:t>'</w:t>
      </w:r>
      <w:r w:rsidR="004A678B">
        <w:rPr>
          <w:rFonts w:ascii="David" w:hAnsi="David" w:cs="David"/>
          <w:sz w:val="24"/>
          <w:szCs w:val="24"/>
          <w:rtl/>
        </w:rPr>
        <w:t xml:space="preserve"> 1,000 ₪ לכל אחד, ועבור ק</w:t>
      </w:r>
      <w:r w:rsidR="004A678B">
        <w:rPr>
          <w:rFonts w:ascii="David" w:hAnsi="David" w:cs="David" w:hint="cs"/>
          <w:sz w:val="24"/>
          <w:szCs w:val="24"/>
          <w:rtl/>
        </w:rPr>
        <w:t>'</w:t>
      </w:r>
      <w:r>
        <w:rPr>
          <w:rFonts w:ascii="David" w:hAnsi="David" w:cs="David"/>
          <w:sz w:val="24"/>
          <w:szCs w:val="24"/>
          <w:rtl/>
        </w:rPr>
        <w:t xml:space="preserve"> שהינה בת 18 סך 333 ₪ לחודש.  כמו כן לטענתו, על הצדדים לשאת בחלקים שווים בהוצאות החינוך והרפואה של הקטינים.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כפי שפורט בהרחבה בעמ"ש 65692-11-19 </w:t>
      </w:r>
      <w:r>
        <w:rPr>
          <w:rFonts w:ascii="David" w:hAnsi="David" w:cs="David"/>
          <w:b/>
          <w:bCs/>
          <w:color w:val="000000"/>
          <w:sz w:val="24"/>
          <w:szCs w:val="24"/>
          <w:rtl/>
        </w:rPr>
        <w:t>ד. ס נ' ל. צ. ס</w:t>
      </w:r>
      <w:r>
        <w:rPr>
          <w:color w:val="000000"/>
          <w:sz w:val="27"/>
          <w:szCs w:val="27"/>
          <w:rtl/>
        </w:rPr>
        <w:t xml:space="preserve"> </w:t>
      </w:r>
      <w:r>
        <w:rPr>
          <w:rFonts w:ascii="David" w:hAnsi="David" w:cs="David"/>
          <w:sz w:val="24"/>
          <w:szCs w:val="24"/>
          <w:rtl/>
        </w:rPr>
        <w:t>(22.9.20), בעבר, כל עוד נהגה ההלכה "הישנה" לפיה חיוב המזונות מוטל לשכמו של האב בלבד, צמצמה הפסיקה חיוב זה אך ורק ל"צרכים ההכרחיים" של הקטין וזאת על מנת שהנטל המוטל על</w:t>
      </w:r>
      <w:r w:rsidR="00A76C45">
        <w:rPr>
          <w:rFonts w:ascii="David" w:hAnsi="David" w:cs="David"/>
          <w:sz w:val="24"/>
          <w:szCs w:val="24"/>
          <w:rtl/>
        </w:rPr>
        <w:t xml:space="preserve"> האב לא יכביד עליו יתר על המידה</w:t>
      </w:r>
      <w:r>
        <w:rPr>
          <w:rFonts w:ascii="David" w:hAnsi="David" w:cs="David"/>
          <w:sz w:val="24"/>
          <w:szCs w:val="24"/>
          <w:rtl/>
        </w:rPr>
        <w:t xml:space="preserve">. צרכים הכרחיים אלו הוערכו בפסיקה הנוהגת בסכומים אשר השתנו מעת לעת והועמדו על סכומים הנעים בין 1,150 -1,400 ₪. מעת שקמה ועמדה ההלכה החדשה המחייבת את ההורים יחדיו לשאת במזונות הילדים, סברו בתי המשפט שאין עוד מקום לצמצם צרכי </w:t>
      </w:r>
      <w:r>
        <w:rPr>
          <w:rFonts w:ascii="David" w:hAnsi="David" w:cs="David"/>
          <w:sz w:val="24"/>
          <w:szCs w:val="24"/>
          <w:rtl/>
        </w:rPr>
        <w:lastRenderedPageBreak/>
        <w:t xml:space="preserve">הקטינים לצרכים הכרחיים בלבד אלא שיש לספק את מלוא צרכיהם, ואלו הוערכו בסכומים הנעים בין  </w:t>
      </w:r>
      <w:r>
        <w:rPr>
          <w:rFonts w:ascii="David" w:hAnsi="David" w:cs="David"/>
          <w:sz w:val="24"/>
          <w:szCs w:val="24"/>
        </w:rPr>
        <w:t>1900 – 1600</w:t>
      </w:r>
      <w:r>
        <w:rPr>
          <w:rFonts w:ascii="David" w:hAnsi="David" w:cs="David"/>
          <w:sz w:val="24"/>
          <w:szCs w:val="24"/>
          <w:rtl/>
        </w:rPr>
        <w:t xml:space="preserve"> ₪ כסך מינימלי חודשי, שאינו נדרש לראיה.</w:t>
      </w:r>
    </w:p>
    <w:p w:rsidR="00014375" w:rsidRDefault="00014375" w:rsidP="00014375">
      <w:pPr>
        <w:pStyle w:val="ad"/>
        <w:rPr>
          <w:rFonts w:ascii="David" w:hAnsi="David" w:cs="David"/>
          <w:sz w:val="24"/>
          <w:szCs w:val="24"/>
        </w:rPr>
      </w:pPr>
    </w:p>
    <w:p w:rsidR="00014375" w:rsidRDefault="00014375" w:rsidP="00014375">
      <w:pPr>
        <w:pStyle w:val="ad"/>
        <w:spacing w:line="360" w:lineRule="auto"/>
        <w:ind w:left="644"/>
        <w:jc w:val="both"/>
        <w:rPr>
          <w:rFonts w:ascii="David" w:hAnsi="David" w:cs="David"/>
          <w:sz w:val="24"/>
          <w:szCs w:val="24"/>
          <w:rtl/>
        </w:rPr>
      </w:pPr>
      <w:r>
        <w:rPr>
          <w:rFonts w:ascii="David" w:hAnsi="David" w:cs="David"/>
          <w:sz w:val="24"/>
          <w:szCs w:val="24"/>
          <w:rtl/>
        </w:rPr>
        <w:t xml:space="preserve">להשלמת התמונה יצוין, כי כאשר הקטין נדרש לחלוק את זמני השהות בשני בתים עולים צרכיו אף מעבר לשיעור הנזכר, שהרי ההורים נזקקים להוצאות כפולות. מתוך שכך, הוערכו צרכיו של קטין המתגורר בשני בתים בסך מינימלי של 2,250 ₪, ואולם בענייננו - אין זה המקרה, שכן הקטינים שוהים בעיקר בבית האישה.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בענייננו, בשים לב לרמת החיים בה חיו הצדדים </w:t>
      </w:r>
      <w:r>
        <w:rPr>
          <w:rFonts w:ascii="David" w:hAnsi="David" w:cs="David"/>
          <w:sz w:val="24"/>
          <w:szCs w:val="24"/>
          <w:u w:val="single"/>
          <w:rtl/>
        </w:rPr>
        <w:t>מחד</w:t>
      </w:r>
      <w:r>
        <w:rPr>
          <w:rFonts w:ascii="David" w:hAnsi="David" w:cs="David"/>
          <w:sz w:val="24"/>
          <w:szCs w:val="24"/>
          <w:rtl/>
        </w:rPr>
        <w:t xml:space="preserve">, ולהלוואות וחובות הצדדים כמפורט בחוות דעת המומחה </w:t>
      </w:r>
      <w:r>
        <w:rPr>
          <w:rFonts w:ascii="David" w:hAnsi="David" w:cs="David"/>
          <w:sz w:val="24"/>
          <w:szCs w:val="24"/>
          <w:u w:val="single"/>
          <w:rtl/>
        </w:rPr>
        <w:t>מאידך</w:t>
      </w:r>
      <w:r>
        <w:rPr>
          <w:rFonts w:ascii="David" w:hAnsi="David" w:cs="David"/>
          <w:sz w:val="24"/>
          <w:szCs w:val="24"/>
          <w:rtl/>
        </w:rPr>
        <w:t>, אני מעריכה את צרכיו של כל קטין מעל גיל 6 בסך 1,900  ₪ לחודש</w:t>
      </w:r>
      <w:r>
        <w:rPr>
          <w:rFonts w:ascii="David" w:hAnsi="David" w:cs="David"/>
          <w:b/>
          <w:bCs/>
          <w:sz w:val="24"/>
          <w:szCs w:val="24"/>
          <w:rtl/>
        </w:rPr>
        <w:t xml:space="preserve"> </w:t>
      </w:r>
      <w:r>
        <w:rPr>
          <w:rFonts w:ascii="David" w:hAnsi="David" w:cs="David"/>
          <w:sz w:val="24"/>
          <w:szCs w:val="24"/>
          <w:rtl/>
        </w:rPr>
        <w:t>(לא כולל את הוצאות המדור, והוצאות החינוך והרפואה). נוכח יחס ההכנסות בין ההורים (70-30), ובשים לב לסכום אותו האיש משלם עבור הקטינים באופן ישיר בעת שהם שוהים עמו (גם אם מדובר בסכום נמוך עבור מתנות ואוכל, שכן הקטינים כלל אינם לנים בביתו), מצאתי להעמיד את סכום המזונות שעל האיש לשאת בסך 1,200 ₪ לחודש, וזאת  עבור כל אחד מהקטינים</w:t>
      </w:r>
      <w:r w:rsidR="004A678B">
        <w:rPr>
          <w:rFonts w:ascii="David" w:hAnsi="David" w:cs="David"/>
          <w:sz w:val="24"/>
          <w:szCs w:val="24"/>
          <w:rtl/>
        </w:rPr>
        <w:t xml:space="preserve"> מ</w:t>
      </w:r>
      <w:r w:rsidR="004A678B">
        <w:rPr>
          <w:rFonts w:ascii="David" w:hAnsi="David" w:cs="David" w:hint="cs"/>
          <w:sz w:val="24"/>
          <w:szCs w:val="24"/>
          <w:rtl/>
        </w:rPr>
        <w:t>'</w:t>
      </w:r>
      <w:r w:rsidR="004A678B">
        <w:rPr>
          <w:rFonts w:ascii="David" w:hAnsi="David" w:cs="David"/>
          <w:sz w:val="24"/>
          <w:szCs w:val="24"/>
          <w:rtl/>
        </w:rPr>
        <w:t xml:space="preserve"> ו</w:t>
      </w:r>
      <w:r w:rsidR="004A678B">
        <w:rPr>
          <w:rFonts w:ascii="David" w:hAnsi="David" w:cs="David" w:hint="cs"/>
          <w:sz w:val="24"/>
          <w:szCs w:val="24"/>
          <w:rtl/>
        </w:rPr>
        <w:t>- ש'</w:t>
      </w:r>
      <w:r>
        <w:rPr>
          <w:rFonts w:ascii="David" w:hAnsi="David" w:cs="David"/>
          <w:sz w:val="24"/>
          <w:szCs w:val="24"/>
          <w:rtl/>
        </w:rPr>
        <w:t>.</w:t>
      </w:r>
    </w:p>
    <w:p w:rsidR="00014375" w:rsidRDefault="00014375" w:rsidP="00014375">
      <w:pPr>
        <w:pStyle w:val="ad"/>
        <w:rPr>
          <w:rFonts w:ascii="David" w:hAnsi="David" w:cs="David"/>
          <w:sz w:val="24"/>
          <w:szCs w:val="24"/>
        </w:rPr>
      </w:pPr>
    </w:p>
    <w:p w:rsidR="00014375" w:rsidRDefault="004A678B" w:rsidP="00014375">
      <w:pPr>
        <w:pStyle w:val="ad"/>
        <w:spacing w:line="360" w:lineRule="auto"/>
        <w:ind w:left="644"/>
        <w:jc w:val="both"/>
        <w:rPr>
          <w:rFonts w:ascii="David" w:hAnsi="David" w:cs="David"/>
          <w:sz w:val="24"/>
          <w:szCs w:val="24"/>
          <w:rtl/>
        </w:rPr>
      </w:pPr>
      <w:r>
        <w:rPr>
          <w:rFonts w:ascii="David" w:hAnsi="David" w:cs="David"/>
          <w:sz w:val="24"/>
          <w:szCs w:val="24"/>
          <w:rtl/>
        </w:rPr>
        <w:t>עבור הבת ק</w:t>
      </w:r>
      <w:r>
        <w:rPr>
          <w:rFonts w:ascii="David" w:hAnsi="David" w:cs="David" w:hint="cs"/>
          <w:sz w:val="24"/>
          <w:szCs w:val="24"/>
          <w:rtl/>
        </w:rPr>
        <w:t>'</w:t>
      </w:r>
      <w:r w:rsidR="00014375">
        <w:rPr>
          <w:rFonts w:ascii="David" w:hAnsi="David" w:cs="David"/>
          <w:sz w:val="24"/>
          <w:szCs w:val="24"/>
          <w:rtl/>
        </w:rPr>
        <w:t xml:space="preserve"> שהינה מעל גיל 18 יישא האיש בתשלום 400 ₪ לחודש (שליש מתוך סך של 1,200 ₪ לחודש), וזאת עד לסיום שירות חובה בצה"ל או שירות לאומי. </w:t>
      </w:r>
    </w:p>
    <w:p w:rsidR="00014375" w:rsidRDefault="00014375" w:rsidP="00014375">
      <w:pPr>
        <w:pStyle w:val="ad"/>
        <w:rPr>
          <w:rFonts w:ascii="David" w:hAnsi="David" w:cs="David"/>
          <w:sz w:val="24"/>
          <w:szCs w:val="24"/>
        </w:rPr>
      </w:pPr>
    </w:p>
    <w:p w:rsidR="00014375" w:rsidRDefault="004A678B" w:rsidP="00014375">
      <w:pPr>
        <w:pStyle w:val="ad"/>
        <w:spacing w:line="360" w:lineRule="auto"/>
        <w:ind w:left="644"/>
        <w:jc w:val="both"/>
        <w:rPr>
          <w:rFonts w:ascii="David" w:hAnsi="David" w:cs="David"/>
          <w:sz w:val="24"/>
          <w:szCs w:val="24"/>
          <w:rtl/>
        </w:rPr>
      </w:pPr>
      <w:r>
        <w:rPr>
          <w:rFonts w:ascii="David" w:hAnsi="David" w:cs="David"/>
          <w:sz w:val="24"/>
          <w:szCs w:val="24"/>
          <w:rtl/>
        </w:rPr>
        <w:t>נוכח גילה של הקטינה ק</w:t>
      </w:r>
      <w:r>
        <w:rPr>
          <w:rFonts w:ascii="David" w:hAnsi="David" w:cs="David" w:hint="cs"/>
          <w:sz w:val="24"/>
          <w:szCs w:val="24"/>
          <w:rtl/>
        </w:rPr>
        <w:t>'</w:t>
      </w:r>
      <w:r w:rsidR="00014375">
        <w:rPr>
          <w:rFonts w:ascii="David" w:hAnsi="David" w:cs="David"/>
          <w:sz w:val="24"/>
          <w:szCs w:val="24"/>
          <w:rtl/>
        </w:rPr>
        <w:t>, שהינה מתחת לגיל 6, האיש יישא בתשלום מזונותיה בסך 1,900</w:t>
      </w:r>
      <w:r w:rsidR="00014375">
        <w:rPr>
          <w:rFonts w:ascii="David" w:hAnsi="David" w:cs="David"/>
          <w:b/>
          <w:bCs/>
          <w:sz w:val="24"/>
          <w:szCs w:val="24"/>
          <w:rtl/>
        </w:rPr>
        <w:t xml:space="preserve"> ₪</w:t>
      </w:r>
      <w:r w:rsidR="00014375">
        <w:rPr>
          <w:rFonts w:ascii="David" w:hAnsi="David" w:cs="David"/>
          <w:sz w:val="24"/>
          <w:szCs w:val="24"/>
          <w:rtl/>
        </w:rPr>
        <w:t xml:space="preserve"> לחודש וזאת עד הגיע</w:t>
      </w:r>
      <w:r>
        <w:rPr>
          <w:rFonts w:ascii="David" w:hAnsi="David" w:cs="David"/>
          <w:sz w:val="24"/>
          <w:szCs w:val="24"/>
          <w:rtl/>
        </w:rPr>
        <w:t>ה לגיל 6. בהגיע הקטינה ק</w:t>
      </w:r>
      <w:r>
        <w:rPr>
          <w:rFonts w:ascii="David" w:hAnsi="David" w:cs="David" w:hint="cs"/>
          <w:sz w:val="24"/>
          <w:szCs w:val="24"/>
          <w:rtl/>
        </w:rPr>
        <w:t>'</w:t>
      </w:r>
      <w:r w:rsidR="00014375">
        <w:rPr>
          <w:rFonts w:ascii="David" w:hAnsi="David" w:cs="David"/>
          <w:sz w:val="24"/>
          <w:szCs w:val="24"/>
          <w:rtl/>
        </w:rPr>
        <w:t xml:space="preserve"> לגיל 6 ירד הסכום לסך 1,200 ₪ לחודש.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u w:val="single"/>
          <w:rtl/>
        </w:rPr>
        <w:t>מדור:</w:t>
      </w:r>
      <w:r>
        <w:rPr>
          <w:rFonts w:ascii="David" w:hAnsi="David" w:cs="David"/>
          <w:sz w:val="24"/>
          <w:szCs w:val="24"/>
          <w:rtl/>
        </w:rPr>
        <w:t xml:space="preserve"> כיום מתגוררים הקטינים עם האישה בבית הצדדים, כאשר קבעתי כי האישה אינה מחויבת בתשלום עבור דמי שימוש. לפיכך לא מצאתי להורות בשלב זה על תוספת עבור רכיב המדור. </w:t>
      </w:r>
    </w:p>
    <w:p w:rsidR="00014375" w:rsidRDefault="00014375" w:rsidP="00014375">
      <w:pPr>
        <w:pStyle w:val="ad"/>
        <w:spacing w:line="360" w:lineRule="auto"/>
        <w:ind w:left="644"/>
        <w:jc w:val="both"/>
        <w:rPr>
          <w:rFonts w:ascii="David" w:hAnsi="David" w:cs="David"/>
          <w:sz w:val="24"/>
          <w:szCs w:val="24"/>
        </w:rPr>
      </w:pPr>
    </w:p>
    <w:p w:rsidR="00014375" w:rsidRDefault="00014375" w:rsidP="00014375">
      <w:pPr>
        <w:pStyle w:val="ad"/>
        <w:spacing w:line="360" w:lineRule="auto"/>
        <w:ind w:left="644"/>
        <w:jc w:val="both"/>
        <w:rPr>
          <w:rFonts w:ascii="David" w:hAnsi="David" w:cs="David"/>
          <w:sz w:val="24"/>
          <w:szCs w:val="24"/>
        </w:rPr>
      </w:pPr>
      <w:r>
        <w:rPr>
          <w:rFonts w:ascii="David" w:hAnsi="David" w:cs="David"/>
          <w:sz w:val="24"/>
          <w:szCs w:val="24"/>
          <w:rtl/>
        </w:rPr>
        <w:t xml:space="preserve">עם זאת, ונוכח החלטתי לפירוק השיתוף בבית הצדדים, החל מהמועד שבו האישה תעזוב את בית הצדדים, וככל שתשכור דירה למגוריה ומגורי הקטינים או תרכוש דירה למגוריה, יישא האיש בתוספת תשלום עבור רכיב המדור בסך 50% מדמי השכירות או תשלום המשכנתא החודשי, וזאת עד לסכום מקסימלי של 2,000 ₪ לחודש (כאשר אף בקביעת סכום זה לקחתי בחשבון </w:t>
      </w:r>
      <w:r w:rsidR="0014147A">
        <w:rPr>
          <w:rFonts w:ascii="David" w:hAnsi="David" w:cs="David" w:hint="cs"/>
          <w:sz w:val="24"/>
          <w:szCs w:val="24"/>
          <w:rtl/>
        </w:rPr>
        <w:t xml:space="preserve">בין היתר, </w:t>
      </w:r>
      <w:r>
        <w:rPr>
          <w:rFonts w:ascii="David" w:hAnsi="David" w:cs="David"/>
          <w:sz w:val="24"/>
          <w:szCs w:val="24"/>
          <w:rtl/>
        </w:rPr>
        <w:t xml:space="preserve">את פוטנציאל ההשתכרות </w:t>
      </w:r>
      <w:r w:rsidR="0014147A">
        <w:rPr>
          <w:rFonts w:ascii="David" w:hAnsi="David" w:cs="David" w:hint="cs"/>
          <w:sz w:val="24"/>
          <w:szCs w:val="24"/>
          <w:rtl/>
        </w:rPr>
        <w:t xml:space="preserve">של </w:t>
      </w:r>
      <w:r>
        <w:rPr>
          <w:rFonts w:ascii="David" w:hAnsi="David" w:cs="David"/>
          <w:sz w:val="24"/>
          <w:szCs w:val="24"/>
          <w:rtl/>
        </w:rPr>
        <w:t>הצדדים ואת מגורי האישה בבית הצדדים במהלך ניהול ההליכים המשפטיים).</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u w:val="single"/>
          <w:rtl/>
        </w:rPr>
        <w:lastRenderedPageBreak/>
        <w:t>הוצאות חינוך ורפואה:</w:t>
      </w:r>
      <w:r>
        <w:rPr>
          <w:rFonts w:ascii="David" w:hAnsi="David" w:cs="David"/>
          <w:sz w:val="24"/>
          <w:szCs w:val="24"/>
          <w:rtl/>
        </w:rPr>
        <w:t xml:space="preserve"> נוכח יחס ההכנסות של הצדדים, מצאתי להורות כי האב יישא בתשלום 70% מהוצאות החינוך והרפואה של הקטינים, ואילו האם תישא ב-30% מהוצאות אלו.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b/>
          <w:bCs/>
          <w:sz w:val="24"/>
          <w:szCs w:val="24"/>
          <w:rtl/>
        </w:rPr>
      </w:pPr>
      <w:r>
        <w:rPr>
          <w:rFonts w:ascii="David" w:hAnsi="David" w:cs="David"/>
          <w:b/>
          <w:bCs/>
          <w:sz w:val="24"/>
          <w:szCs w:val="24"/>
          <w:rtl/>
        </w:rPr>
        <w:t>לסיכום, בנסיבות אלו החיוב במזונות יהא כדלקמן:</w:t>
      </w:r>
    </w:p>
    <w:p w:rsidR="00014375" w:rsidRDefault="00014375" w:rsidP="0024068C">
      <w:pPr>
        <w:pStyle w:val="ad"/>
        <w:numPr>
          <w:ilvl w:val="2"/>
          <w:numId w:val="3"/>
        </w:numPr>
        <w:spacing w:line="360" w:lineRule="auto"/>
        <w:ind w:left="1502" w:hanging="284"/>
        <w:jc w:val="both"/>
        <w:rPr>
          <w:rFonts w:ascii="David" w:hAnsi="David" w:cs="David"/>
          <w:sz w:val="24"/>
          <w:szCs w:val="24"/>
        </w:rPr>
      </w:pPr>
      <w:r>
        <w:rPr>
          <w:rFonts w:ascii="David" w:hAnsi="David" w:cs="David"/>
          <w:sz w:val="24"/>
          <w:szCs w:val="24"/>
          <w:rtl/>
        </w:rPr>
        <w:t>האב</w:t>
      </w:r>
      <w:r w:rsidR="004A678B">
        <w:rPr>
          <w:rFonts w:ascii="David" w:hAnsi="David" w:cs="David"/>
          <w:sz w:val="24"/>
          <w:szCs w:val="24"/>
          <w:rtl/>
        </w:rPr>
        <w:t xml:space="preserve"> יישא בתשלום מזונות הקטינה ק</w:t>
      </w:r>
      <w:r w:rsidR="004A678B">
        <w:rPr>
          <w:rFonts w:ascii="David" w:hAnsi="David" w:cs="David" w:hint="cs"/>
          <w:sz w:val="24"/>
          <w:szCs w:val="24"/>
          <w:rtl/>
        </w:rPr>
        <w:t>'</w:t>
      </w:r>
      <w:r>
        <w:rPr>
          <w:rFonts w:ascii="David" w:hAnsi="David" w:cs="David"/>
          <w:sz w:val="24"/>
          <w:szCs w:val="24"/>
          <w:rtl/>
        </w:rPr>
        <w:t xml:space="preserve"> בסך </w:t>
      </w:r>
      <w:r>
        <w:rPr>
          <w:rFonts w:ascii="David" w:hAnsi="David" w:cs="David"/>
          <w:b/>
          <w:bCs/>
          <w:sz w:val="24"/>
          <w:szCs w:val="24"/>
          <w:rtl/>
        </w:rPr>
        <w:t>1,900 ₪ לחודש,</w:t>
      </w:r>
      <w:r>
        <w:rPr>
          <w:rFonts w:ascii="David" w:hAnsi="David" w:cs="David"/>
          <w:sz w:val="24"/>
          <w:szCs w:val="24"/>
          <w:rtl/>
        </w:rPr>
        <w:t xml:space="preserve"> וזאת עד הגיעה לגיל 6. בהגיע הקטינה לגיל 6 יעמוד סכום המזונות ע"ס 1,200 ₪ לחודש. </w:t>
      </w:r>
    </w:p>
    <w:p w:rsidR="00014375" w:rsidRDefault="00014375" w:rsidP="00014375">
      <w:pPr>
        <w:pStyle w:val="ad"/>
        <w:numPr>
          <w:ilvl w:val="2"/>
          <w:numId w:val="3"/>
        </w:numPr>
        <w:spacing w:line="360" w:lineRule="auto"/>
        <w:ind w:left="1502" w:hanging="284"/>
        <w:jc w:val="both"/>
        <w:rPr>
          <w:rFonts w:ascii="David" w:hAnsi="David" w:cs="David"/>
          <w:sz w:val="24"/>
          <w:szCs w:val="24"/>
        </w:rPr>
      </w:pPr>
      <w:r>
        <w:rPr>
          <w:rFonts w:ascii="David" w:hAnsi="David" w:cs="David"/>
          <w:sz w:val="24"/>
          <w:szCs w:val="24"/>
          <w:rtl/>
        </w:rPr>
        <w:t>האב</w:t>
      </w:r>
      <w:r w:rsidR="004A678B">
        <w:rPr>
          <w:rFonts w:ascii="David" w:hAnsi="David" w:cs="David"/>
          <w:sz w:val="24"/>
          <w:szCs w:val="24"/>
          <w:rtl/>
        </w:rPr>
        <w:t xml:space="preserve"> יישא בתשלום מזונות הקטינים מ</w:t>
      </w:r>
      <w:r w:rsidR="004A678B">
        <w:rPr>
          <w:rFonts w:ascii="David" w:hAnsi="David" w:cs="David" w:hint="cs"/>
          <w:sz w:val="24"/>
          <w:szCs w:val="24"/>
          <w:rtl/>
        </w:rPr>
        <w:t>'</w:t>
      </w:r>
      <w:r w:rsidR="004A678B">
        <w:rPr>
          <w:rFonts w:ascii="David" w:hAnsi="David" w:cs="David"/>
          <w:sz w:val="24"/>
          <w:szCs w:val="24"/>
          <w:rtl/>
        </w:rPr>
        <w:t xml:space="preserve"> ו</w:t>
      </w:r>
      <w:r w:rsidR="004A678B">
        <w:rPr>
          <w:rFonts w:ascii="David" w:hAnsi="David" w:cs="David" w:hint="cs"/>
          <w:sz w:val="24"/>
          <w:szCs w:val="24"/>
          <w:rtl/>
        </w:rPr>
        <w:t>- ש'</w:t>
      </w:r>
      <w:r>
        <w:rPr>
          <w:rFonts w:ascii="David" w:hAnsi="David" w:cs="David"/>
          <w:sz w:val="24"/>
          <w:szCs w:val="24"/>
          <w:rtl/>
        </w:rPr>
        <w:t xml:space="preserve"> בסך 1,200 ₪ לחודש עבור כל קטין, ובסה"כ </w:t>
      </w:r>
      <w:r>
        <w:rPr>
          <w:rFonts w:ascii="David" w:hAnsi="David" w:cs="David"/>
          <w:b/>
          <w:bCs/>
          <w:sz w:val="24"/>
          <w:szCs w:val="24"/>
          <w:rtl/>
        </w:rPr>
        <w:t>2,400 ₪ לחודש</w:t>
      </w:r>
      <w:r>
        <w:rPr>
          <w:rFonts w:ascii="David" w:hAnsi="David" w:cs="David"/>
          <w:sz w:val="24"/>
          <w:szCs w:val="24"/>
          <w:rtl/>
        </w:rPr>
        <w:t xml:space="preserve"> עבור שני הקטינים.</w:t>
      </w:r>
    </w:p>
    <w:p w:rsidR="00014375" w:rsidRDefault="004A678B" w:rsidP="00014375">
      <w:pPr>
        <w:pStyle w:val="ad"/>
        <w:numPr>
          <w:ilvl w:val="2"/>
          <w:numId w:val="3"/>
        </w:numPr>
        <w:spacing w:line="360" w:lineRule="auto"/>
        <w:ind w:left="1502" w:hanging="284"/>
        <w:jc w:val="both"/>
        <w:rPr>
          <w:rFonts w:ascii="David" w:hAnsi="David" w:cs="David"/>
          <w:sz w:val="24"/>
          <w:szCs w:val="24"/>
        </w:rPr>
      </w:pPr>
      <w:r>
        <w:rPr>
          <w:rFonts w:ascii="David" w:hAnsi="David" w:cs="David"/>
          <w:sz w:val="24"/>
          <w:szCs w:val="24"/>
          <w:rtl/>
        </w:rPr>
        <w:t>האב יישא בתשלום מזונות הבת ק</w:t>
      </w:r>
      <w:r>
        <w:rPr>
          <w:rFonts w:ascii="David" w:hAnsi="David" w:cs="David" w:hint="cs"/>
          <w:sz w:val="24"/>
          <w:szCs w:val="24"/>
          <w:rtl/>
        </w:rPr>
        <w:t>'</w:t>
      </w:r>
      <w:r w:rsidR="00014375">
        <w:rPr>
          <w:rFonts w:ascii="David" w:hAnsi="David" w:cs="David"/>
          <w:sz w:val="24"/>
          <w:szCs w:val="24"/>
          <w:rtl/>
        </w:rPr>
        <w:t xml:space="preserve"> בסך </w:t>
      </w:r>
      <w:r w:rsidR="00014375">
        <w:rPr>
          <w:rFonts w:ascii="David" w:hAnsi="David" w:cs="David"/>
          <w:b/>
          <w:bCs/>
          <w:sz w:val="24"/>
          <w:szCs w:val="24"/>
          <w:rtl/>
        </w:rPr>
        <w:t>400 ₪ לחודש</w:t>
      </w:r>
      <w:r w:rsidR="00014375">
        <w:rPr>
          <w:rFonts w:ascii="David" w:hAnsi="David" w:cs="David"/>
          <w:sz w:val="24"/>
          <w:szCs w:val="24"/>
          <w:rtl/>
        </w:rPr>
        <w:t xml:space="preserve">, וזאת עד לסיום שירות חובה בצה"ל או שירות לאומי. </w:t>
      </w:r>
    </w:p>
    <w:p w:rsidR="00014375" w:rsidRDefault="00014375" w:rsidP="00014375">
      <w:pPr>
        <w:pStyle w:val="ad"/>
        <w:numPr>
          <w:ilvl w:val="2"/>
          <w:numId w:val="3"/>
        </w:numPr>
        <w:spacing w:line="360" w:lineRule="auto"/>
        <w:ind w:left="1502" w:hanging="284"/>
        <w:jc w:val="both"/>
        <w:rPr>
          <w:rFonts w:ascii="David" w:hAnsi="David" w:cs="David"/>
          <w:sz w:val="24"/>
          <w:szCs w:val="24"/>
        </w:rPr>
      </w:pPr>
      <w:r>
        <w:rPr>
          <w:rFonts w:ascii="David" w:hAnsi="David" w:cs="David"/>
          <w:sz w:val="24"/>
          <w:szCs w:val="24"/>
          <w:rtl/>
        </w:rPr>
        <w:t>בנוסף, וככל שהאם תשכור דירה למגוריה ומגורי הקטינים או תרכוש דירה, יישא האב בתשלום סך של עד 2,000 ₪ לחודש בגין חלקו במדור הקטינים (כפוף להצגת חוזה שכירות בתוקף עם צד ג' שאינו בן משפחה ובניכוי סיוע בשכר דירה ממשרד השיכון, ככל שיתקבל, או לחילופין אישור מאת הבנק בגין תשלום משכנתא).</w:t>
      </w:r>
    </w:p>
    <w:p w:rsidR="00014375" w:rsidRDefault="00014375" w:rsidP="00014375">
      <w:pPr>
        <w:pStyle w:val="ad"/>
        <w:numPr>
          <w:ilvl w:val="2"/>
          <w:numId w:val="3"/>
        </w:numPr>
        <w:spacing w:line="360" w:lineRule="auto"/>
        <w:ind w:left="1502" w:hanging="284"/>
        <w:jc w:val="both"/>
        <w:rPr>
          <w:rFonts w:ascii="David" w:hAnsi="David" w:cs="David"/>
          <w:sz w:val="24"/>
          <w:szCs w:val="24"/>
        </w:rPr>
      </w:pPr>
      <w:r>
        <w:rPr>
          <w:rFonts w:ascii="David" w:hAnsi="David" w:cs="David"/>
          <w:sz w:val="24"/>
          <w:szCs w:val="24"/>
          <w:rtl/>
        </w:rPr>
        <w:t xml:space="preserve">דמי המזונות ישולמו החל ממועד מתן פסק הדין ובכל 10 לחודש, וזאת לחשבון הבנק של האם. עד למועד פסק הדין ינהגו הצדדים בהתאם להחלטה שניתנה ביום 23.6.20 בעניין המזונות הזמניים. </w:t>
      </w:r>
    </w:p>
    <w:p w:rsidR="00014375" w:rsidRDefault="00014375" w:rsidP="00014375">
      <w:pPr>
        <w:pStyle w:val="ad"/>
        <w:numPr>
          <w:ilvl w:val="2"/>
          <w:numId w:val="3"/>
        </w:numPr>
        <w:spacing w:line="360" w:lineRule="auto"/>
        <w:ind w:left="1502" w:hanging="284"/>
        <w:jc w:val="both"/>
        <w:rPr>
          <w:rFonts w:ascii="David" w:hAnsi="David" w:cs="David"/>
          <w:sz w:val="24"/>
          <w:szCs w:val="24"/>
        </w:rPr>
      </w:pPr>
      <w:r>
        <w:rPr>
          <w:rFonts w:ascii="David" w:hAnsi="David" w:cs="David"/>
          <w:sz w:val="24"/>
          <w:szCs w:val="24"/>
          <w:rtl/>
        </w:rPr>
        <w:t xml:space="preserve">ככל שסכום המזונות הקבועים נמוך מהסכום בו חויב האב במזונות הזמניים, האם לא תידרש להשיב את ההפרשים בהיותם "מזונות שנאכלו". </w:t>
      </w:r>
    </w:p>
    <w:p w:rsidR="00014375" w:rsidRDefault="00014375" w:rsidP="00014375">
      <w:pPr>
        <w:pStyle w:val="ad"/>
        <w:numPr>
          <w:ilvl w:val="2"/>
          <w:numId w:val="3"/>
        </w:numPr>
        <w:spacing w:line="360" w:lineRule="auto"/>
        <w:ind w:left="1502" w:hanging="284"/>
        <w:jc w:val="both"/>
        <w:rPr>
          <w:rFonts w:ascii="David" w:hAnsi="David" w:cs="David"/>
          <w:sz w:val="24"/>
          <w:szCs w:val="24"/>
        </w:rPr>
      </w:pPr>
      <w:r>
        <w:rPr>
          <w:rFonts w:ascii="David" w:hAnsi="David" w:cs="David"/>
          <w:sz w:val="24"/>
          <w:szCs w:val="24"/>
          <w:rtl/>
        </w:rPr>
        <w:t>דמי המזונות יהיו צמודים למדד המחירים לצרכן שיפורסם היום ויתעדכנו אחת לשלושה חודשים ללא חיוב למפרע.</w:t>
      </w:r>
    </w:p>
    <w:p w:rsidR="00014375" w:rsidRDefault="00014375" w:rsidP="00014375">
      <w:pPr>
        <w:pStyle w:val="ad"/>
        <w:numPr>
          <w:ilvl w:val="2"/>
          <w:numId w:val="3"/>
        </w:numPr>
        <w:spacing w:line="360" w:lineRule="auto"/>
        <w:ind w:left="1502" w:hanging="284"/>
        <w:jc w:val="both"/>
        <w:rPr>
          <w:rFonts w:ascii="David" w:hAnsi="David" w:cs="David"/>
          <w:sz w:val="24"/>
          <w:szCs w:val="24"/>
        </w:rPr>
      </w:pPr>
      <w:r>
        <w:rPr>
          <w:rFonts w:ascii="David" w:hAnsi="David" w:cs="David"/>
          <w:sz w:val="24"/>
          <w:szCs w:val="24"/>
          <w:rtl/>
        </w:rPr>
        <w:t xml:space="preserve">בהגיע כל קטין לגיל 18 או בסיום לימודי התיכון (לפי המאוחר מבין השניים), ירד סכום המזונות שישולם עבורו לשליש, וישולם השליש עד תום שירות חובה בצה"ל או שירות לאומי. </w:t>
      </w:r>
    </w:p>
    <w:p w:rsidR="00014375" w:rsidRDefault="00014375" w:rsidP="00014375">
      <w:pPr>
        <w:pStyle w:val="ad"/>
        <w:numPr>
          <w:ilvl w:val="2"/>
          <w:numId w:val="3"/>
        </w:numPr>
        <w:spacing w:line="360" w:lineRule="auto"/>
        <w:ind w:left="1502" w:hanging="284"/>
        <w:jc w:val="both"/>
        <w:rPr>
          <w:rFonts w:ascii="David" w:hAnsi="David" w:cs="David"/>
          <w:sz w:val="24"/>
          <w:szCs w:val="24"/>
        </w:rPr>
      </w:pPr>
      <w:r>
        <w:rPr>
          <w:rFonts w:ascii="David" w:hAnsi="David" w:cs="David"/>
          <w:sz w:val="24"/>
          <w:szCs w:val="24"/>
          <w:rtl/>
        </w:rPr>
        <w:t>קצבת ילדים וכל קצבה אחרת מהמוסד לביטוח לאומי ישולמו לידי האם ויתווספו לדמי המזונות.</w:t>
      </w:r>
    </w:p>
    <w:p w:rsidR="00014375" w:rsidRDefault="00014375" w:rsidP="00014375">
      <w:pPr>
        <w:pStyle w:val="ad"/>
        <w:numPr>
          <w:ilvl w:val="2"/>
          <w:numId w:val="3"/>
        </w:numPr>
        <w:spacing w:line="360" w:lineRule="auto"/>
        <w:ind w:left="1502" w:hanging="284"/>
        <w:jc w:val="both"/>
        <w:rPr>
          <w:rFonts w:ascii="David" w:hAnsi="David" w:cs="David"/>
          <w:sz w:val="24"/>
          <w:szCs w:val="24"/>
        </w:rPr>
      </w:pPr>
      <w:r>
        <w:rPr>
          <w:rFonts w:ascii="David" w:hAnsi="David" w:cs="David"/>
          <w:sz w:val="24"/>
          <w:szCs w:val="24"/>
          <w:rtl/>
        </w:rPr>
        <w:t>סכום שלא ישולם במועדו יישא הפרשי ריבית והצמדה כדין ממועד החיוב ועד התשלום בפועל.</w:t>
      </w:r>
    </w:p>
    <w:p w:rsidR="00014375" w:rsidRDefault="00014375" w:rsidP="00014375">
      <w:pPr>
        <w:pStyle w:val="ad"/>
        <w:numPr>
          <w:ilvl w:val="2"/>
          <w:numId w:val="3"/>
        </w:numPr>
        <w:spacing w:line="360" w:lineRule="auto"/>
        <w:ind w:left="1502" w:hanging="284"/>
        <w:jc w:val="both"/>
        <w:rPr>
          <w:rFonts w:ascii="David" w:hAnsi="David" w:cs="David"/>
          <w:sz w:val="24"/>
          <w:szCs w:val="24"/>
        </w:rPr>
      </w:pPr>
      <w:r>
        <w:rPr>
          <w:rFonts w:ascii="David" w:hAnsi="David" w:cs="David"/>
          <w:b/>
          <w:bCs/>
          <w:sz w:val="24"/>
          <w:szCs w:val="24"/>
          <w:rtl/>
        </w:rPr>
        <w:t>בנוסף,</w:t>
      </w:r>
      <w:r>
        <w:rPr>
          <w:rFonts w:ascii="David" w:hAnsi="David" w:cs="David"/>
          <w:sz w:val="24"/>
          <w:szCs w:val="24"/>
          <w:rtl/>
        </w:rPr>
        <w:t xml:space="preserve"> האב יישא ב70% מהוצאות החינוך והוצאות הבריאות החריגות של הקטינים, ואילו האם תישא ב-30% מהוצאות אלו, בהתאם לרשימה הבאה: </w:t>
      </w:r>
    </w:p>
    <w:p w:rsidR="00014375" w:rsidRDefault="00014375" w:rsidP="00014375">
      <w:pPr>
        <w:pStyle w:val="ad"/>
        <w:spacing w:line="360" w:lineRule="auto"/>
        <w:ind w:left="1440"/>
        <w:jc w:val="both"/>
        <w:rPr>
          <w:rFonts w:ascii="David" w:hAnsi="David" w:cs="David"/>
          <w:sz w:val="24"/>
          <w:szCs w:val="24"/>
          <w:u w:val="single"/>
        </w:rPr>
      </w:pPr>
      <w:r>
        <w:rPr>
          <w:rFonts w:ascii="David" w:hAnsi="David" w:cs="David"/>
          <w:sz w:val="24"/>
          <w:szCs w:val="24"/>
          <w:u w:val="single"/>
          <w:rtl/>
        </w:rPr>
        <w:t>הוצאות רפואיות חריגות:</w:t>
      </w:r>
      <w:r>
        <w:rPr>
          <w:rFonts w:ascii="David" w:hAnsi="David" w:cs="David"/>
          <w:sz w:val="24"/>
          <w:szCs w:val="24"/>
          <w:rtl/>
        </w:rPr>
        <w:t xml:space="preserve"> הוצאות רפואיות שאינן מכוסות על ידי קופת החולים (כולל רכישת ריטלין או תרופה חלופית), טיפול פסיכולוגי, טיפול רגשי ואבחון </w:t>
      </w:r>
      <w:r>
        <w:rPr>
          <w:rFonts w:ascii="David" w:hAnsi="David" w:cs="David"/>
          <w:sz w:val="24"/>
          <w:szCs w:val="24"/>
          <w:rtl/>
        </w:rPr>
        <w:lastRenderedPageBreak/>
        <w:t xml:space="preserve">דידקטי -  וזאת על פי המלצות הגורמים הרפואיים ו/או גורם טיפולי, טיפולי שיניים לרבות בדיקות שגרתיות ויישור שיניים, משקפיים ו/או עדשות. </w:t>
      </w:r>
    </w:p>
    <w:p w:rsidR="00014375" w:rsidRDefault="00014375" w:rsidP="00014375">
      <w:pPr>
        <w:pStyle w:val="ad"/>
        <w:spacing w:line="360" w:lineRule="auto"/>
        <w:ind w:left="1440"/>
        <w:jc w:val="both"/>
        <w:rPr>
          <w:rFonts w:ascii="David" w:hAnsi="David" w:cs="David"/>
          <w:sz w:val="24"/>
          <w:szCs w:val="24"/>
        </w:rPr>
      </w:pPr>
      <w:r>
        <w:rPr>
          <w:rFonts w:ascii="David" w:hAnsi="David" w:cs="David"/>
          <w:sz w:val="24"/>
          <w:szCs w:val="24"/>
          <w:u w:val="single"/>
          <w:rtl/>
        </w:rPr>
        <w:t>הוצאות חינוך</w:t>
      </w:r>
      <w:r>
        <w:rPr>
          <w:rFonts w:ascii="David" w:hAnsi="David" w:cs="David"/>
          <w:sz w:val="24"/>
          <w:szCs w:val="24"/>
          <w:rtl/>
        </w:rPr>
        <w:t>: תשלומי שכר לימוד (כולל דמי שכלול, טיולי בית ספר ותשלום עבור השאלת ספרים), חוג לכל קטין (בעלות מרבית של חוג מתנ"ס/עלות ציבורית), מחזור ראשון של קייטנה (בעלות ציבורית), שיעורים פרטיים - וזאת</w:t>
      </w:r>
      <w:r>
        <w:rPr>
          <w:rFonts w:ascii="David" w:hAnsi="David" w:cs="David"/>
          <w:sz w:val="24"/>
          <w:szCs w:val="24"/>
        </w:rPr>
        <w:t xml:space="preserve"> </w:t>
      </w:r>
      <w:r>
        <w:rPr>
          <w:rFonts w:ascii="David" w:hAnsi="David" w:cs="David"/>
          <w:sz w:val="24"/>
          <w:szCs w:val="24"/>
          <w:rtl/>
        </w:rPr>
        <w:t xml:space="preserve">בהתאם להמלצת הגורם החינוכי, הוצאות רכישת ספרי לימוד וציוד לימודי נדרש בתחילת כל שנת לימודים - בניכוי סכום מענק הלימודים שתקבל האם בתחילת כל שנה מאת המוסד לביטוח לאומי (במידה ותקבל). </w:t>
      </w:r>
    </w:p>
    <w:p w:rsidR="00014375" w:rsidRDefault="00014375" w:rsidP="00014375">
      <w:pPr>
        <w:pStyle w:val="ad"/>
        <w:spacing w:line="360" w:lineRule="auto"/>
        <w:ind w:left="1440"/>
        <w:jc w:val="both"/>
        <w:rPr>
          <w:rFonts w:ascii="David" w:hAnsi="David" w:cs="David"/>
          <w:sz w:val="24"/>
          <w:szCs w:val="24"/>
          <w:rtl/>
        </w:rPr>
      </w:pPr>
    </w:p>
    <w:p w:rsidR="00014375" w:rsidRDefault="00014375" w:rsidP="00014375">
      <w:pPr>
        <w:pStyle w:val="ad"/>
        <w:tabs>
          <w:tab w:val="left" w:pos="651"/>
        </w:tabs>
        <w:spacing w:after="200" w:line="360" w:lineRule="auto"/>
        <w:ind w:left="1440"/>
        <w:jc w:val="both"/>
        <w:rPr>
          <w:rFonts w:ascii="David" w:hAnsi="David" w:cs="David"/>
          <w:sz w:val="24"/>
          <w:szCs w:val="24"/>
          <w:rtl/>
        </w:rPr>
      </w:pPr>
      <w:r>
        <w:rPr>
          <w:rFonts w:ascii="David" w:hAnsi="David" w:cs="David"/>
          <w:sz w:val="24"/>
          <w:szCs w:val="24"/>
          <w:rtl/>
        </w:rPr>
        <w:t xml:space="preserve">על הצד המשלם עבור הוצאה חריגה, ליידע מראש את הצד השני בדבר התשלום. </w:t>
      </w:r>
    </w:p>
    <w:p w:rsidR="00014375" w:rsidRDefault="00014375" w:rsidP="00014375">
      <w:pPr>
        <w:pStyle w:val="ad"/>
        <w:tabs>
          <w:tab w:val="left" w:pos="651"/>
        </w:tabs>
        <w:spacing w:line="360" w:lineRule="auto"/>
        <w:ind w:left="2160"/>
        <w:jc w:val="both"/>
        <w:rPr>
          <w:rFonts w:ascii="David" w:hAnsi="David" w:cs="David"/>
          <w:sz w:val="24"/>
          <w:szCs w:val="24"/>
          <w:rtl/>
        </w:rPr>
      </w:pPr>
    </w:p>
    <w:p w:rsidR="00014375" w:rsidRDefault="00014375" w:rsidP="00014375">
      <w:pPr>
        <w:pStyle w:val="ad"/>
        <w:tabs>
          <w:tab w:val="left" w:pos="651"/>
        </w:tabs>
        <w:spacing w:after="200" w:line="360" w:lineRule="auto"/>
        <w:ind w:left="1440"/>
        <w:jc w:val="both"/>
        <w:rPr>
          <w:rFonts w:ascii="David" w:hAnsi="David" w:cs="David"/>
          <w:sz w:val="24"/>
          <w:szCs w:val="24"/>
          <w:rtl/>
        </w:rPr>
      </w:pPr>
      <w:r>
        <w:rPr>
          <w:rFonts w:ascii="David" w:hAnsi="David" w:cs="David"/>
          <w:sz w:val="24"/>
          <w:szCs w:val="24"/>
          <w:rtl/>
        </w:rPr>
        <w:t xml:space="preserve">במקרה של אי הסכמה בין ההורים באשר לנחיצות ההוצאה החריגה ו/או זהות נותן השירות יפעלו הצדדים בהתאם להמלצת גורם מקצועי רלוונטי. החזר תשלום עבור הוצאה חריגה יבוצע תוך 30 ימים מיום שנתבקש ההורה השני לעשות כן ובליווי קבלות. </w:t>
      </w:r>
    </w:p>
    <w:p w:rsidR="00014375" w:rsidRDefault="00014375" w:rsidP="00014375">
      <w:pPr>
        <w:pStyle w:val="ad"/>
        <w:ind w:left="1440"/>
        <w:rPr>
          <w:rFonts w:ascii="David" w:hAnsi="David" w:cs="David"/>
          <w:sz w:val="24"/>
          <w:szCs w:val="24"/>
        </w:rPr>
      </w:pPr>
    </w:p>
    <w:p w:rsidR="00014375" w:rsidRDefault="00014375" w:rsidP="00014375">
      <w:pPr>
        <w:pStyle w:val="ad"/>
        <w:spacing w:after="200" w:line="360" w:lineRule="auto"/>
        <w:ind w:left="1440"/>
        <w:jc w:val="both"/>
        <w:rPr>
          <w:rFonts w:ascii="David" w:hAnsi="David" w:cs="David"/>
          <w:sz w:val="24"/>
          <w:szCs w:val="24"/>
          <w:rtl/>
        </w:rPr>
      </w:pPr>
      <w:r>
        <w:rPr>
          <w:rFonts w:ascii="David" w:hAnsi="David" w:cs="David"/>
          <w:sz w:val="24"/>
          <w:szCs w:val="24"/>
          <w:rtl/>
        </w:rPr>
        <w:t xml:space="preserve">ההוצאות החריגות הנ"ל ייחשבו כחלק מן החיוב במזונות וניתן יהיה לגבותם כחוב מזונות. </w:t>
      </w:r>
    </w:p>
    <w:p w:rsidR="00014375" w:rsidRDefault="00014375" w:rsidP="00014375">
      <w:pPr>
        <w:pStyle w:val="ad"/>
        <w:spacing w:after="200" w:line="360" w:lineRule="auto"/>
        <w:ind w:left="1440"/>
        <w:jc w:val="both"/>
        <w:rPr>
          <w:rFonts w:ascii="David" w:hAnsi="David" w:cs="David"/>
          <w:sz w:val="24"/>
          <w:szCs w:val="24"/>
          <w:rtl/>
        </w:rPr>
      </w:pPr>
    </w:p>
    <w:p w:rsidR="00014375" w:rsidRDefault="00014375" w:rsidP="00014375">
      <w:pPr>
        <w:pStyle w:val="ad"/>
        <w:spacing w:line="360" w:lineRule="auto"/>
        <w:ind w:left="644"/>
        <w:jc w:val="both"/>
        <w:rPr>
          <w:rFonts w:ascii="David" w:hAnsi="David" w:cs="David"/>
          <w:b/>
          <w:bCs/>
          <w:sz w:val="24"/>
          <w:szCs w:val="24"/>
          <w:u w:val="single"/>
        </w:rPr>
      </w:pPr>
      <w:r>
        <w:rPr>
          <w:rFonts w:ascii="David" w:hAnsi="David" w:cs="David"/>
          <w:b/>
          <w:bCs/>
          <w:sz w:val="24"/>
          <w:szCs w:val="24"/>
          <w:u w:val="single"/>
          <w:rtl/>
        </w:rPr>
        <w:t>מזונות אישה</w:t>
      </w:r>
    </w:p>
    <w:p w:rsidR="00014375" w:rsidRDefault="00014375" w:rsidP="00014375">
      <w:pPr>
        <w:pStyle w:val="ad"/>
        <w:spacing w:line="360" w:lineRule="auto"/>
        <w:ind w:left="644"/>
        <w:jc w:val="both"/>
        <w:rPr>
          <w:rFonts w:ascii="David" w:hAnsi="David" w:cs="David"/>
          <w:b/>
          <w:bCs/>
          <w:sz w:val="24"/>
          <w:szCs w:val="24"/>
          <w:u w:val="single"/>
          <w:rtl/>
        </w:rPr>
      </w:pPr>
    </w:p>
    <w:p w:rsidR="00014375" w:rsidRDefault="00014375" w:rsidP="00014375">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נוכח קביעתי לפיה יש להעמיד את הכנסתה של האישה משני העסקים יחד או לחילופין את פוטנציאל השתכרותה בסך 8,000 ₪ נטו לחודש, לא מצאתי לחייב האיש בתשלום מזונותיה. אף אם אניח כי בעבר, כאשר עסקי האישה היו בתחילת הדרך, הכנסותיה היו בסכומים נמוכים יותר (ראו: בעמ' 19 לחוות דעת המומחה מיום 10.6.21), הרי שמשעה שהאישה התגוררה בבית הצדדים רחב הידיים ובשים לב להחלטתי כי אין לחייבה בתשלום דמי שימוש לאיש, בין היתר בשל היותם נשואים, הרי שלא מצאתי לחייב את האיש בנוסף אף בתשלום מזונותיה. </w:t>
      </w:r>
    </w:p>
    <w:p w:rsidR="00014375" w:rsidRDefault="00014375" w:rsidP="00014375">
      <w:pPr>
        <w:pStyle w:val="ad"/>
        <w:spacing w:line="360" w:lineRule="auto"/>
        <w:ind w:left="644"/>
        <w:jc w:val="both"/>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למעלה מן הצורך אציין, כי התרשמתי שכל אחד מהצדדים המשיך ובנה את חייו בנפרד, וכי הצדדים עדיין נותרו נשואים, בין היתר, בשל המחלוקות הרכושיות והכלכליות שנותרו ביניהם. </w:t>
      </w:r>
    </w:p>
    <w:p w:rsidR="00014375" w:rsidRDefault="00014375" w:rsidP="00014375">
      <w:pPr>
        <w:pStyle w:val="ad"/>
        <w:rPr>
          <w:rFonts w:ascii="David" w:hAnsi="David" w:cs="David"/>
          <w:sz w:val="24"/>
          <w:szCs w:val="24"/>
        </w:rPr>
      </w:pPr>
    </w:p>
    <w:p w:rsidR="00014375" w:rsidRDefault="00014375" w:rsidP="0001437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בנסיבות, לא מצאתי לחייב בהוצאות וכל צד יישא בתשלום הוצאותיו. </w:t>
      </w:r>
    </w:p>
    <w:p w:rsidR="00014375" w:rsidRDefault="00014375" w:rsidP="00014375">
      <w:pPr>
        <w:pStyle w:val="ad"/>
        <w:rPr>
          <w:rFonts w:ascii="David" w:hAnsi="David" w:cs="David"/>
          <w:sz w:val="24"/>
          <w:szCs w:val="24"/>
        </w:rPr>
      </w:pPr>
    </w:p>
    <w:p w:rsidR="00014375" w:rsidRDefault="004A678B" w:rsidP="00014375">
      <w:pPr>
        <w:pStyle w:val="ad"/>
        <w:spacing w:line="360" w:lineRule="auto"/>
        <w:ind w:left="644"/>
        <w:jc w:val="both"/>
        <w:rPr>
          <w:rFonts w:ascii="David" w:hAnsi="David" w:cs="David"/>
          <w:sz w:val="24"/>
          <w:szCs w:val="24"/>
          <w:rtl/>
        </w:rPr>
      </w:pPr>
      <w:r>
        <w:rPr>
          <w:rFonts w:ascii="David" w:hAnsi="David" w:cs="David" w:hint="cs"/>
          <w:sz w:val="24"/>
          <w:szCs w:val="24"/>
          <w:rtl/>
        </w:rPr>
        <w:t xml:space="preserve">פסק הדין מותר בפרסום בהשמטת פרטים מזהים. </w:t>
      </w:r>
    </w:p>
    <w:p w:rsidR="00014375" w:rsidRDefault="00014375" w:rsidP="00014375">
      <w:pPr>
        <w:spacing w:line="360" w:lineRule="auto"/>
        <w:jc w:val="both"/>
        <w:rPr>
          <w:rFonts w:ascii="David" w:hAnsi="David"/>
          <w:b/>
          <w:bCs/>
        </w:rPr>
      </w:pPr>
      <w:r>
        <w:rPr>
          <w:rFonts w:ascii="David" w:hAnsi="David"/>
          <w:b/>
          <w:bCs/>
          <w:rtl/>
        </w:rPr>
        <w:t>תואיל המזכירות להמציא את פסק הדין לצדדים ולסגור את כל התיקים שבכותרת.</w:t>
      </w:r>
    </w:p>
    <w:p w:rsidR="00014375" w:rsidRDefault="00014375" w:rsidP="00014375">
      <w:pPr>
        <w:pStyle w:val="ad"/>
        <w:spacing w:line="360" w:lineRule="auto"/>
        <w:ind w:left="644"/>
        <w:jc w:val="both"/>
        <w:rPr>
          <w:rFonts w:ascii="David" w:hAnsi="David" w:cs="David"/>
          <w:sz w:val="24"/>
          <w:szCs w:val="24"/>
          <w:rtl/>
        </w:rPr>
      </w:pPr>
    </w:p>
    <w:p w:rsidR="00014375" w:rsidRDefault="00014375" w:rsidP="00014375">
      <w:pPr>
        <w:pStyle w:val="ad"/>
        <w:spacing w:line="360" w:lineRule="auto"/>
        <w:jc w:val="both"/>
        <w:rPr>
          <w:rFonts w:ascii="David" w:hAnsi="David" w:cs="David"/>
          <w:sz w:val="24"/>
          <w:szCs w:val="24"/>
        </w:rPr>
      </w:pPr>
    </w:p>
    <w:p w:rsidR="00014375" w:rsidRDefault="00014375" w:rsidP="00014375">
      <w:pPr>
        <w:spacing w:line="360" w:lineRule="auto"/>
        <w:jc w:val="both"/>
        <w:rPr>
          <w:rFonts w:ascii="David" w:hAnsi="David"/>
        </w:rPr>
      </w:pPr>
    </w:p>
    <w:p w:rsidR="00014375" w:rsidRDefault="00014375" w:rsidP="00014375">
      <w:pPr>
        <w:spacing w:line="360" w:lineRule="auto"/>
        <w:jc w:val="both"/>
        <w:rPr>
          <w:rFonts w:ascii="David" w:hAnsi="David"/>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ה' אב תשפ"ב</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02 אוגוסט 2022</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5A0076" w:rsidP="00633C4F">
      <w:pPr>
        <w:spacing w:line="360" w:lineRule="auto"/>
        <w:ind w:left="3600" w:firstLine="720"/>
      </w:pPr>
      <w:sdt>
        <w:sdtPr>
          <w:rPr>
            <w:rtl/>
          </w:rPr>
          <w:alias w:val="MergeField"/>
          <w:tag w:val="1237"/>
          <w:id w:val="-923954143"/>
        </w:sdtPr>
        <w:sdtEndPr/>
        <w:sdtContent>
          <w:r w:rsidR="00552C9E">
            <w:drawing>
              <wp:inline distT="0" distB="0" distL="0" distR="0" wp14:editId="50D07946">
                <wp:extent cx="106680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66800" cy="5524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076" w:rsidRDefault="005A0076">
      <w:r>
        <w:separator/>
      </w:r>
    </w:p>
  </w:endnote>
  <w:endnote w:type="continuationSeparator" w:id="0">
    <w:p w:rsidR="005A0076" w:rsidRDefault="005A0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E43D6">
      <w:rPr>
        <w:rStyle w:val="ab"/>
        <w:rFonts w:cs="Times New Roman"/>
        <w:rtl/>
      </w:rPr>
      <w:t>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E43D6">
      <w:rPr>
        <w:rStyle w:val="ab"/>
        <w:rtl/>
      </w:rPr>
      <w:t>24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076" w:rsidRDefault="005A0076">
      <w:r>
        <w:separator/>
      </w:r>
    </w:p>
  </w:footnote>
  <w:footnote w:type="continuationSeparator" w:id="0">
    <w:p w:rsidR="005A0076" w:rsidRDefault="005A0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014375" w:rsidRDefault="0027277D" w:rsidP="001B614C">
          <w:pPr>
            <w:rPr>
              <w:b/>
              <w:bCs/>
              <w:noProof w:val="0"/>
              <w:sz w:val="26"/>
              <w:szCs w:val="26"/>
              <w:rtl/>
            </w:rPr>
          </w:pPr>
          <w:r>
            <w:rPr>
              <w:b/>
              <w:bCs/>
              <w:noProof w:val="0"/>
              <w:sz w:val="26"/>
              <w:szCs w:val="26"/>
              <w:rtl/>
            </w:rPr>
            <w:t>תלה"מ</w:t>
          </w:r>
          <w:r w:rsidR="00005C8B">
            <w:rPr>
              <w:b/>
              <w:bCs/>
              <w:noProof w:val="0"/>
              <w:sz w:val="26"/>
              <w:szCs w:val="26"/>
              <w:rtl/>
            </w:rPr>
            <w:t xml:space="preserve"> </w:t>
          </w:r>
          <w:r>
            <w:rPr>
              <w:b/>
              <w:bCs/>
              <w:noProof w:val="0"/>
              <w:sz w:val="26"/>
              <w:szCs w:val="26"/>
              <w:rtl/>
            </w:rPr>
            <w:t>22152-02-18</w:t>
          </w:r>
          <w:r w:rsidR="00005C8B">
            <w:rPr>
              <w:b/>
              <w:bCs/>
              <w:noProof w:val="0"/>
              <w:sz w:val="26"/>
              <w:szCs w:val="26"/>
              <w:rtl/>
            </w:rPr>
            <w:t xml:space="preserve"> </w:t>
          </w:r>
          <w:r w:rsidR="001B614C">
            <w:rPr>
              <w:rFonts w:hint="cs"/>
              <w:b/>
              <w:bCs/>
              <w:noProof w:val="0"/>
              <w:sz w:val="26"/>
              <w:szCs w:val="26"/>
              <w:rtl/>
            </w:rPr>
            <w:t>פלונית</w:t>
          </w:r>
          <w:r>
            <w:rPr>
              <w:b/>
              <w:bCs/>
              <w:noProof w:val="0"/>
              <w:sz w:val="26"/>
              <w:szCs w:val="26"/>
              <w:rtl/>
            </w:rPr>
            <w:t xml:space="preserve"> נ' </w:t>
          </w:r>
          <w:r w:rsidR="001B614C">
            <w:rPr>
              <w:rFonts w:hint="cs"/>
              <w:b/>
              <w:bCs/>
              <w:noProof w:val="0"/>
              <w:sz w:val="26"/>
              <w:szCs w:val="26"/>
              <w:rtl/>
            </w:rPr>
            <w:t>פלוני</w:t>
          </w:r>
          <w:r w:rsidR="00014375">
            <w:rPr>
              <w:b/>
              <w:bCs/>
              <w:noProof w:val="0"/>
              <w:sz w:val="26"/>
              <w:szCs w:val="26"/>
              <w:rtl/>
            </w:rPr>
            <w:br/>
          </w:r>
          <w:r w:rsidR="00014375">
            <w:rPr>
              <w:rFonts w:hint="cs"/>
              <w:b/>
              <w:bCs/>
              <w:noProof w:val="0"/>
              <w:sz w:val="26"/>
              <w:szCs w:val="26"/>
              <w:rtl/>
            </w:rPr>
            <w:t xml:space="preserve">תלה"מ 22247-02-18 </w:t>
          </w:r>
          <w:r w:rsidR="001B614C">
            <w:rPr>
              <w:rFonts w:hint="cs"/>
              <w:b/>
              <w:bCs/>
              <w:noProof w:val="0"/>
              <w:sz w:val="26"/>
              <w:szCs w:val="26"/>
              <w:rtl/>
            </w:rPr>
            <w:t>פלונית</w:t>
          </w:r>
          <w:r w:rsidR="00014375">
            <w:rPr>
              <w:rFonts w:hint="cs"/>
              <w:b/>
              <w:bCs/>
              <w:noProof w:val="0"/>
              <w:sz w:val="26"/>
              <w:szCs w:val="26"/>
              <w:rtl/>
            </w:rPr>
            <w:t xml:space="preserve"> נ' </w:t>
          </w:r>
          <w:r w:rsidR="001B614C">
            <w:rPr>
              <w:rFonts w:hint="cs"/>
              <w:b/>
              <w:bCs/>
              <w:noProof w:val="0"/>
              <w:sz w:val="26"/>
              <w:szCs w:val="26"/>
              <w:rtl/>
            </w:rPr>
            <w:t>פלוני</w:t>
          </w:r>
        </w:p>
        <w:p w:rsidR="00694556" w:rsidRPr="00957C90" w:rsidRDefault="00014375" w:rsidP="001B614C">
          <w:pPr>
            <w:rPr>
              <w:b/>
              <w:bCs/>
              <w:noProof w:val="0"/>
              <w:sz w:val="2"/>
              <w:szCs w:val="2"/>
              <w:rtl/>
            </w:rPr>
          </w:pPr>
          <w:r>
            <w:rPr>
              <w:b/>
              <w:bCs/>
              <w:sz w:val="26"/>
              <w:szCs w:val="26"/>
              <w:rtl/>
            </w:rPr>
            <w:t xml:space="preserve">תלה"מ </w:t>
          </w:r>
          <w:r w:rsidRPr="000859D3">
            <w:rPr>
              <w:rFonts w:hint="cs"/>
              <w:b/>
              <w:bCs/>
              <w:sz w:val="26"/>
              <w:szCs w:val="26"/>
              <w:rtl/>
            </w:rPr>
            <w:t>5035-06-</w:t>
          </w:r>
          <w:r w:rsidR="000859D3" w:rsidRPr="000859D3">
            <w:rPr>
              <w:rFonts w:hint="cs"/>
              <w:b/>
              <w:bCs/>
              <w:sz w:val="26"/>
              <w:szCs w:val="26"/>
              <w:rtl/>
            </w:rPr>
            <w:t>19</w:t>
          </w:r>
          <w:r>
            <w:rPr>
              <w:b/>
              <w:bCs/>
              <w:sz w:val="26"/>
              <w:szCs w:val="26"/>
              <w:rtl/>
            </w:rPr>
            <w:t xml:space="preserve"> </w:t>
          </w:r>
          <w:r w:rsidR="001B614C">
            <w:rPr>
              <w:rFonts w:hint="cs"/>
              <w:b/>
              <w:bCs/>
              <w:sz w:val="26"/>
              <w:szCs w:val="26"/>
              <w:rtl/>
            </w:rPr>
            <w:t>פלוני</w:t>
          </w:r>
          <w:r>
            <w:rPr>
              <w:b/>
              <w:bCs/>
              <w:sz w:val="26"/>
              <w:szCs w:val="26"/>
              <w:rtl/>
            </w:rPr>
            <w:t xml:space="preserve"> נ' </w:t>
          </w:r>
          <w:r w:rsidR="001B614C">
            <w:rPr>
              <w:rFonts w:hint="cs"/>
              <w:b/>
              <w:bCs/>
              <w:sz w:val="26"/>
              <w:szCs w:val="26"/>
              <w:rtl/>
            </w:rPr>
            <w:t>פלונית</w:t>
          </w: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344EE"/>
    <w:multiLevelType w:val="hybridMultilevel"/>
    <w:tmpl w:val="079650EE"/>
    <w:lvl w:ilvl="0" w:tplc="4C886CC4">
      <w:start w:val="1"/>
      <w:numFmt w:val="hebrew1"/>
      <w:lvlText w:val="%1."/>
      <w:lvlJc w:val="center"/>
      <w:pPr>
        <w:ind w:left="720" w:hanging="360"/>
      </w:pPr>
    </w:lvl>
    <w:lvl w:ilvl="1" w:tplc="0C8A46CE">
      <w:start w:val="1"/>
      <w:numFmt w:val="lowerLetter"/>
      <w:lvlText w:val="%2."/>
      <w:lvlJc w:val="left"/>
      <w:pPr>
        <w:ind w:left="1440" w:hanging="360"/>
      </w:pPr>
    </w:lvl>
    <w:lvl w:ilvl="2" w:tplc="BA0E3C28">
      <w:start w:val="1"/>
      <w:numFmt w:val="lowerRoman"/>
      <w:lvlText w:val="%3."/>
      <w:lvlJc w:val="right"/>
      <w:pPr>
        <w:ind w:left="2160" w:hanging="180"/>
      </w:pPr>
    </w:lvl>
    <w:lvl w:ilvl="3" w:tplc="5A587672">
      <w:start w:val="1"/>
      <w:numFmt w:val="hebrew1"/>
      <w:lvlText w:val="%4."/>
      <w:lvlJc w:val="left"/>
      <w:pPr>
        <w:ind w:left="2880" w:hanging="360"/>
      </w:pPr>
      <w:rPr>
        <w:rFonts w:ascii="David" w:eastAsiaTheme="minorHAnsi" w:hAnsi="David" w:cs="David"/>
      </w:rPr>
    </w:lvl>
    <w:lvl w:ilvl="4" w:tplc="80A223AC">
      <w:start w:val="1"/>
      <w:numFmt w:val="lowerLetter"/>
      <w:lvlText w:val="%5."/>
      <w:lvlJc w:val="left"/>
      <w:pPr>
        <w:ind w:left="3600" w:hanging="360"/>
      </w:pPr>
    </w:lvl>
    <w:lvl w:ilvl="5" w:tplc="C07A849E">
      <w:start w:val="1"/>
      <w:numFmt w:val="lowerRoman"/>
      <w:lvlText w:val="%6."/>
      <w:lvlJc w:val="right"/>
      <w:pPr>
        <w:ind w:left="4320" w:hanging="180"/>
      </w:pPr>
    </w:lvl>
    <w:lvl w:ilvl="6" w:tplc="1BE44D30">
      <w:start w:val="1"/>
      <w:numFmt w:val="decimal"/>
      <w:lvlText w:val="%7."/>
      <w:lvlJc w:val="left"/>
      <w:pPr>
        <w:ind w:left="5040" w:hanging="360"/>
      </w:pPr>
    </w:lvl>
    <w:lvl w:ilvl="7" w:tplc="B448B116">
      <w:start w:val="1"/>
      <w:numFmt w:val="lowerLetter"/>
      <w:lvlText w:val="%8."/>
      <w:lvlJc w:val="left"/>
      <w:pPr>
        <w:ind w:left="5760" w:hanging="360"/>
      </w:pPr>
    </w:lvl>
    <w:lvl w:ilvl="8" w:tplc="2A708D20">
      <w:start w:val="1"/>
      <w:numFmt w:val="lowerRoman"/>
      <w:lvlText w:val="%9."/>
      <w:lvlJc w:val="right"/>
      <w:pPr>
        <w:ind w:left="6480" w:hanging="180"/>
      </w:pPr>
    </w:lvl>
  </w:abstractNum>
  <w:abstractNum w:abstractNumId="1" w15:restartNumberingAfterBreak="0">
    <w:nsid w:val="4D5B6EEE"/>
    <w:multiLevelType w:val="hybridMultilevel"/>
    <w:tmpl w:val="BB44A17A"/>
    <w:lvl w:ilvl="0" w:tplc="9BCA1C6C">
      <w:start w:val="1"/>
      <w:numFmt w:val="decimal"/>
      <w:lvlText w:val="%1."/>
      <w:lvlJc w:val="left"/>
      <w:pPr>
        <w:ind w:left="644" w:hanging="360"/>
      </w:pPr>
      <w:rPr>
        <w:lang w:bidi="he-IL"/>
      </w:rPr>
    </w:lvl>
    <w:lvl w:ilvl="1" w:tplc="AA2CCEA0">
      <w:start w:val="1"/>
      <w:numFmt w:val="lowerLetter"/>
      <w:lvlText w:val="%2."/>
      <w:lvlJc w:val="left"/>
      <w:pPr>
        <w:ind w:left="1440" w:hanging="360"/>
      </w:pPr>
    </w:lvl>
    <w:lvl w:ilvl="2" w:tplc="4AA40A24">
      <w:start w:val="1"/>
      <w:numFmt w:val="hebrew1"/>
      <w:lvlText w:val="%3."/>
      <w:lvlJc w:val="right"/>
      <w:pPr>
        <w:ind w:left="2160" w:hanging="180"/>
      </w:pPr>
      <w:rPr>
        <w:rFonts w:ascii="David" w:eastAsiaTheme="minorHAnsi" w:hAnsi="David" w:cs="David"/>
      </w:rPr>
    </w:lvl>
    <w:lvl w:ilvl="3" w:tplc="55E0D282">
      <w:start w:val="1"/>
      <w:numFmt w:val="hebrew1"/>
      <w:lvlText w:val="%4."/>
      <w:lvlJc w:val="left"/>
      <w:pPr>
        <w:ind w:left="3240" w:hanging="720"/>
      </w:pPr>
    </w:lvl>
    <w:lvl w:ilvl="4" w:tplc="41FE037A">
      <w:start w:val="1"/>
      <w:numFmt w:val="lowerLetter"/>
      <w:lvlText w:val="%5."/>
      <w:lvlJc w:val="left"/>
      <w:pPr>
        <w:ind w:left="3600" w:hanging="360"/>
      </w:pPr>
    </w:lvl>
    <w:lvl w:ilvl="5" w:tplc="A002037C">
      <w:start w:val="1"/>
      <w:numFmt w:val="lowerRoman"/>
      <w:lvlText w:val="%6."/>
      <w:lvlJc w:val="right"/>
      <w:pPr>
        <w:ind w:left="4320" w:hanging="180"/>
      </w:pPr>
    </w:lvl>
    <w:lvl w:ilvl="6" w:tplc="FC3667D2">
      <w:start w:val="1"/>
      <w:numFmt w:val="decimal"/>
      <w:lvlText w:val="%7."/>
      <w:lvlJc w:val="left"/>
      <w:pPr>
        <w:ind w:left="5040" w:hanging="360"/>
      </w:pPr>
    </w:lvl>
    <w:lvl w:ilvl="7" w:tplc="3F6EAF68">
      <w:start w:val="1"/>
      <w:numFmt w:val="lowerLetter"/>
      <w:lvlText w:val="%8."/>
      <w:lvlJc w:val="left"/>
      <w:pPr>
        <w:ind w:left="5760" w:hanging="360"/>
      </w:pPr>
    </w:lvl>
    <w:lvl w:ilvl="8" w:tplc="CA34B10A">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375"/>
    <w:rsid w:val="000146C2"/>
    <w:rsid w:val="00016C35"/>
    <w:rsid w:val="000258FD"/>
    <w:rsid w:val="000564AB"/>
    <w:rsid w:val="000859D3"/>
    <w:rsid w:val="000D4A02"/>
    <w:rsid w:val="001072A9"/>
    <w:rsid w:val="00121F97"/>
    <w:rsid w:val="001277D7"/>
    <w:rsid w:val="00132017"/>
    <w:rsid w:val="0014147A"/>
    <w:rsid w:val="0014234E"/>
    <w:rsid w:val="00145A87"/>
    <w:rsid w:val="0014729A"/>
    <w:rsid w:val="0018262B"/>
    <w:rsid w:val="001B614C"/>
    <w:rsid w:val="001C4003"/>
    <w:rsid w:val="001F5474"/>
    <w:rsid w:val="002352F7"/>
    <w:rsid w:val="0024068C"/>
    <w:rsid w:val="0027277D"/>
    <w:rsid w:val="002A7BA3"/>
    <w:rsid w:val="00357376"/>
    <w:rsid w:val="00381D3A"/>
    <w:rsid w:val="00382261"/>
    <w:rsid w:val="003823DA"/>
    <w:rsid w:val="003D2BD1"/>
    <w:rsid w:val="003F6CC4"/>
    <w:rsid w:val="00407A9D"/>
    <w:rsid w:val="0043595F"/>
    <w:rsid w:val="00436601"/>
    <w:rsid w:val="0047645A"/>
    <w:rsid w:val="004A678B"/>
    <w:rsid w:val="004D49A3"/>
    <w:rsid w:val="004D50AC"/>
    <w:rsid w:val="004E6E3C"/>
    <w:rsid w:val="005124F1"/>
    <w:rsid w:val="00516D3C"/>
    <w:rsid w:val="00530BAD"/>
    <w:rsid w:val="00541598"/>
    <w:rsid w:val="00547DB7"/>
    <w:rsid w:val="00552C9E"/>
    <w:rsid w:val="00567324"/>
    <w:rsid w:val="005A0076"/>
    <w:rsid w:val="005B0F49"/>
    <w:rsid w:val="005C7EC6"/>
    <w:rsid w:val="005D4BDB"/>
    <w:rsid w:val="005E43D6"/>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46D27"/>
    <w:rsid w:val="008610A7"/>
    <w:rsid w:val="008C7AFA"/>
    <w:rsid w:val="008E1332"/>
    <w:rsid w:val="00903896"/>
    <w:rsid w:val="00927813"/>
    <w:rsid w:val="00944D13"/>
    <w:rsid w:val="00957C90"/>
    <w:rsid w:val="009A37A5"/>
    <w:rsid w:val="009C358E"/>
    <w:rsid w:val="009D2593"/>
    <w:rsid w:val="009E0263"/>
    <w:rsid w:val="00A267CF"/>
    <w:rsid w:val="00A43458"/>
    <w:rsid w:val="00A76C45"/>
    <w:rsid w:val="00AB1249"/>
    <w:rsid w:val="00AC4E19"/>
    <w:rsid w:val="00AF1ED6"/>
    <w:rsid w:val="00B32C61"/>
    <w:rsid w:val="00B368FE"/>
    <w:rsid w:val="00B64E36"/>
    <w:rsid w:val="00B80CBD"/>
    <w:rsid w:val="00BC3369"/>
    <w:rsid w:val="00BE60BD"/>
    <w:rsid w:val="00BF77EE"/>
    <w:rsid w:val="00C32E0F"/>
    <w:rsid w:val="00C42BF9"/>
    <w:rsid w:val="00C83E56"/>
    <w:rsid w:val="00CC63CE"/>
    <w:rsid w:val="00D319B3"/>
    <w:rsid w:val="00D36A71"/>
    <w:rsid w:val="00D53924"/>
    <w:rsid w:val="00D60849"/>
    <w:rsid w:val="00D96D8C"/>
    <w:rsid w:val="00DA755B"/>
    <w:rsid w:val="00DD337E"/>
    <w:rsid w:val="00E00B6F"/>
    <w:rsid w:val="00E54642"/>
    <w:rsid w:val="00E97908"/>
    <w:rsid w:val="00EF3ED0"/>
    <w:rsid w:val="00F17E56"/>
    <w:rsid w:val="00FA77D0"/>
    <w:rsid w:val="00FB6191"/>
    <w:rsid w:val="00FC065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014375"/>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David">
    <w:name w:val="סגנון (עברית ושפות אחרות) David מיושר לשני הצדדים מרווח בין שורות..."/>
    <w:basedOn w:val="a"/>
    <w:rsid w:val="00014375"/>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7538528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37461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91146A"/>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A7F31"/>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8FE73-6C71-4C42-9B58-FF885A703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6761</Words>
  <Characters>33805</Characters>
  <Application>Microsoft Office Word</Application>
  <DocSecurity>0</DocSecurity>
  <Lines>281</Lines>
  <Paragraphs>80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2023-04-30T11:49:00Z</dcterms:created>
  <dcterms:modified xsi:type="dcterms:W3CDTF">2023-04-30T11:49:00Z</dcterms:modified>
</cp:coreProperties>
</file>